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2CE9" w:rsidRDefault="00E02CE9">
      <w:pPr>
        <w:spacing w:after="0" w:line="312" w:lineRule="auto"/>
        <w:jc w:val="center"/>
        <w:rPr>
          <w:b/>
        </w:rPr>
      </w:pPr>
      <w:bookmarkStart w:id="0" w:name="_GoBack"/>
      <w:bookmarkEnd w:id="0"/>
    </w:p>
    <w:p w:rsidR="00E02CE9" w:rsidRDefault="00E02CE9">
      <w:pPr>
        <w:spacing w:after="0"/>
        <w:jc w:val="center"/>
        <w:rPr>
          <w:b/>
        </w:rPr>
      </w:pPr>
    </w:p>
    <w:p w:rsidR="00E02CE9" w:rsidRDefault="008972AB">
      <w:pPr>
        <w:spacing w:after="0"/>
        <w:jc w:val="center"/>
        <w:rPr>
          <w:b/>
        </w:rPr>
      </w:pPr>
      <w:r>
        <w:rPr>
          <w:b/>
        </w:rPr>
        <w:t>MEMORANDO</w:t>
      </w:r>
    </w:p>
    <w:p w:rsidR="00E02CE9" w:rsidRDefault="00E02CE9">
      <w:pPr>
        <w:spacing w:after="0"/>
        <w:jc w:val="center"/>
        <w:rPr>
          <w:b/>
        </w:rPr>
      </w:pPr>
    </w:p>
    <w:p w:rsidR="00E02CE9" w:rsidRDefault="00E02CE9">
      <w:pPr>
        <w:spacing w:after="0"/>
        <w:jc w:val="center"/>
        <w:rPr>
          <w:b/>
        </w:rPr>
      </w:pPr>
    </w:p>
    <w:p w:rsidR="00E02CE9" w:rsidRDefault="008972AB">
      <w:pPr>
        <w:spacing w:after="0"/>
        <w:rPr>
          <w:b/>
        </w:rPr>
      </w:pPr>
      <w:r>
        <w:rPr>
          <w:b/>
        </w:rPr>
        <w:t xml:space="preserve">PARA: </w:t>
      </w:r>
      <w:r>
        <w:rPr>
          <w:b/>
        </w:rPr>
        <w:tab/>
        <w:t>LUZ ANGÉLICA VIZCAÍNO SOLANO</w:t>
      </w:r>
    </w:p>
    <w:p w:rsidR="00E02CE9" w:rsidRDefault="008972AB">
      <w:pPr>
        <w:spacing w:after="0"/>
      </w:pPr>
      <w:r>
        <w:tab/>
      </w:r>
      <w:r>
        <w:tab/>
        <w:t xml:space="preserve">Secretaria General de Organismo de Control </w:t>
      </w:r>
    </w:p>
    <w:p w:rsidR="00E02CE9" w:rsidRDefault="00E02CE9">
      <w:pPr>
        <w:spacing w:after="0"/>
      </w:pPr>
    </w:p>
    <w:p w:rsidR="00E02CE9" w:rsidRDefault="008972AB">
      <w:pPr>
        <w:spacing w:after="0"/>
      </w:pPr>
      <w:r>
        <w:rPr>
          <w:b/>
        </w:rPr>
        <w:t>DE:</w:t>
      </w:r>
      <w:r>
        <w:tab/>
      </w:r>
      <w:r>
        <w:tab/>
        <w:t>RUBÉN DARÍO TORRADO PACHECO</w:t>
      </w:r>
    </w:p>
    <w:p w:rsidR="00E02CE9" w:rsidRDefault="008972AB">
      <w:pPr>
        <w:spacing w:after="0"/>
      </w:pPr>
      <w:r>
        <w:tab/>
      </w:r>
      <w:r>
        <w:tab/>
        <w:t>Concejal de Bogotá D.C</w:t>
      </w:r>
    </w:p>
    <w:p w:rsidR="00E02CE9" w:rsidRDefault="00E02CE9">
      <w:pPr>
        <w:spacing w:after="0"/>
      </w:pPr>
    </w:p>
    <w:p w:rsidR="00E02CE9" w:rsidRDefault="008972AB">
      <w:pPr>
        <w:spacing w:after="0"/>
      </w:pPr>
      <w:r>
        <w:rPr>
          <w:b/>
        </w:rPr>
        <w:t>ASUNTO:</w:t>
      </w:r>
      <w:r>
        <w:t xml:space="preserve"> </w:t>
      </w:r>
      <w:r>
        <w:tab/>
        <w:t>Radicación de proyecto de acuerdo</w:t>
      </w:r>
    </w:p>
    <w:p w:rsidR="00E02CE9" w:rsidRDefault="00E02CE9">
      <w:pPr>
        <w:spacing w:after="0" w:line="312" w:lineRule="auto"/>
      </w:pPr>
    </w:p>
    <w:p w:rsidR="00E02CE9" w:rsidRDefault="00E02CE9">
      <w:pPr>
        <w:spacing w:after="0" w:line="312" w:lineRule="auto"/>
      </w:pPr>
    </w:p>
    <w:p w:rsidR="00E02CE9" w:rsidRDefault="008972AB">
      <w:pPr>
        <w:spacing w:after="0" w:line="312" w:lineRule="auto"/>
      </w:pPr>
      <w:r>
        <w:t>Respetada doctora Vizcaino:</w:t>
      </w:r>
    </w:p>
    <w:p w:rsidR="00E02CE9" w:rsidRDefault="00E02CE9">
      <w:pPr>
        <w:spacing w:after="0" w:line="312" w:lineRule="auto"/>
      </w:pPr>
    </w:p>
    <w:p w:rsidR="00E02CE9" w:rsidRDefault="008972AB">
      <w:pPr>
        <w:spacing w:after="0" w:line="312" w:lineRule="auto"/>
        <w:rPr>
          <w:b/>
          <w:i/>
        </w:rPr>
      </w:pPr>
      <w:r>
        <w:t xml:space="preserve">En cumplimiento del artículo 66 del Acuerdo 741 de 2019, modificado por el artículo 12 del Acuerdo 837 de 2022, me permito radicar ante su despacho para conocimiento, consulta y posterior trámite, el proyecto de acuerdo denominado: </w:t>
      </w:r>
      <w:r>
        <w:rPr>
          <w:b/>
          <w:i/>
        </w:rPr>
        <w:t>“POR EL CUAL SE ESTABLECE UN PROTOCOLO PARA GESTIONAR LA FATIGA Y CANSANCIO EN LOS CONDUCTORES QUE OPERAN EN LOS TERMINALES DE TRANSPORTE TERRESTRE AUTOMOTOR DE PASAJEROS POR CARRETERA Y SE DICTAN OTRAS DISPOSICIONES”</w:t>
      </w:r>
    </w:p>
    <w:p w:rsidR="00E02CE9" w:rsidRDefault="00E02CE9">
      <w:pPr>
        <w:spacing w:after="0" w:line="312" w:lineRule="auto"/>
        <w:rPr>
          <w:b/>
          <w:i/>
        </w:rPr>
      </w:pPr>
    </w:p>
    <w:p w:rsidR="00E02CE9" w:rsidRDefault="00E02CE9">
      <w:pPr>
        <w:spacing w:after="0" w:line="312" w:lineRule="auto"/>
        <w:rPr>
          <w:b/>
          <w:i/>
        </w:rPr>
      </w:pPr>
    </w:p>
    <w:p w:rsidR="00E02CE9" w:rsidRDefault="008972AB">
      <w:pPr>
        <w:spacing w:line="312" w:lineRule="auto"/>
      </w:pPr>
      <w:r>
        <w:t>Cordialmente,</w:t>
      </w:r>
    </w:p>
    <w:p w:rsidR="00E02CE9" w:rsidRDefault="00E02CE9">
      <w:pPr>
        <w:spacing w:line="312" w:lineRule="auto"/>
      </w:pPr>
    </w:p>
    <w:p w:rsidR="00E02CE9" w:rsidRDefault="00E02CE9">
      <w:pPr>
        <w:spacing w:line="312" w:lineRule="auto"/>
      </w:pPr>
    </w:p>
    <w:p w:rsidR="00E02CE9" w:rsidRDefault="00E02CE9">
      <w:pPr>
        <w:spacing w:line="312" w:lineRule="auto"/>
      </w:pPr>
    </w:p>
    <w:p w:rsidR="00E02CE9" w:rsidRDefault="008972AB">
      <w:pPr>
        <w:spacing w:after="0" w:line="240" w:lineRule="auto"/>
        <w:rPr>
          <w:b/>
        </w:rPr>
      </w:pPr>
      <w:r>
        <w:rPr>
          <w:b/>
        </w:rPr>
        <w:t>RUBÉN DARÍO TORRADO PACHECO</w:t>
      </w:r>
    </w:p>
    <w:p w:rsidR="00E02CE9" w:rsidRDefault="008972AB">
      <w:pPr>
        <w:spacing w:line="240" w:lineRule="auto"/>
      </w:pPr>
      <w:r>
        <w:t>Concejal de Bogotá D.C</w:t>
      </w:r>
    </w:p>
    <w:p w:rsidR="00E02CE9" w:rsidRDefault="008972AB">
      <w:pPr>
        <w:spacing w:line="240" w:lineRule="auto"/>
      </w:pPr>
      <w:r>
        <w:t>Vocero de la Bancada del Partido de la U.</w:t>
      </w:r>
    </w:p>
    <w:p w:rsidR="00E02CE9" w:rsidRDefault="00E02CE9">
      <w:pPr>
        <w:spacing w:line="240" w:lineRule="auto"/>
        <w:rPr>
          <w:sz w:val="24"/>
          <w:szCs w:val="24"/>
        </w:rPr>
      </w:pPr>
    </w:p>
    <w:p w:rsidR="00E02CE9" w:rsidRDefault="00E02CE9">
      <w:pPr>
        <w:spacing w:after="0" w:line="312" w:lineRule="auto"/>
        <w:rPr>
          <w:sz w:val="24"/>
          <w:szCs w:val="24"/>
        </w:rPr>
      </w:pPr>
    </w:p>
    <w:p w:rsidR="008972AB" w:rsidRDefault="008972AB">
      <w:pPr>
        <w:jc w:val="center"/>
        <w:rPr>
          <w:b/>
          <w:sz w:val="24"/>
          <w:szCs w:val="24"/>
        </w:rPr>
      </w:pPr>
      <w:r>
        <w:rPr>
          <w:b/>
          <w:sz w:val="24"/>
          <w:szCs w:val="24"/>
        </w:rPr>
        <w:t>PROYECTO DE ACUERDO NO. 471 DE 2025</w:t>
      </w:r>
    </w:p>
    <w:p w:rsidR="00E02CE9" w:rsidRDefault="008972AB">
      <w:pPr>
        <w:jc w:val="center"/>
        <w:rPr>
          <w:b/>
          <w:i/>
          <w:sz w:val="24"/>
          <w:szCs w:val="24"/>
        </w:rPr>
      </w:pPr>
      <w:r>
        <w:rPr>
          <w:b/>
          <w:sz w:val="24"/>
          <w:szCs w:val="24"/>
        </w:rPr>
        <w:t xml:space="preserve"> </w:t>
      </w:r>
      <w:r>
        <w:rPr>
          <w:b/>
          <w:i/>
          <w:sz w:val="24"/>
          <w:szCs w:val="24"/>
        </w:rPr>
        <w:t>“POR EL CUAL SE ESTABLECE UN PROTOCOLO PARA GESTIONAR LA FATIGA Y EL CANSANCIO EN LOS CONDUCTORES QUE OPERAN EN LOS TERMINALES DE TRANSPORTE TERRESTRE AUTOMOTOR DE PASAJEROS POR CARRETERA EN BOGOTÁ Y SE DICTAN OTRAS DISPOSICIONES”</w:t>
      </w:r>
    </w:p>
    <w:p w:rsidR="00E02CE9" w:rsidRDefault="00E02CE9">
      <w:pPr>
        <w:jc w:val="center"/>
        <w:rPr>
          <w:b/>
          <w:i/>
          <w:sz w:val="24"/>
          <w:szCs w:val="24"/>
        </w:rPr>
      </w:pPr>
    </w:p>
    <w:p w:rsidR="00E02CE9" w:rsidRDefault="008972AB">
      <w:pPr>
        <w:rPr>
          <w:b/>
          <w:sz w:val="24"/>
          <w:szCs w:val="24"/>
        </w:rPr>
      </w:pPr>
      <w:r>
        <w:rPr>
          <w:b/>
          <w:sz w:val="24"/>
          <w:szCs w:val="24"/>
        </w:rPr>
        <w:t>EXPOSICIÓN DE MOTIVOS</w:t>
      </w:r>
    </w:p>
    <w:p w:rsidR="00E02CE9" w:rsidRDefault="00E02CE9">
      <w:pPr>
        <w:rPr>
          <w:b/>
          <w:sz w:val="24"/>
          <w:szCs w:val="24"/>
        </w:rPr>
      </w:pPr>
    </w:p>
    <w:p w:rsidR="00E02CE9" w:rsidRDefault="008972AB">
      <w:pPr>
        <w:pStyle w:val="Ttulo1"/>
        <w:numPr>
          <w:ilvl w:val="0"/>
          <w:numId w:val="8"/>
        </w:numPr>
        <w:rPr>
          <w:sz w:val="24"/>
          <w:szCs w:val="24"/>
        </w:rPr>
      </w:pPr>
      <w:r>
        <w:rPr>
          <w:sz w:val="24"/>
          <w:szCs w:val="24"/>
        </w:rPr>
        <w:t>Objeto del Proyecto de Acuerdo</w:t>
      </w:r>
    </w:p>
    <w:p w:rsidR="00E02CE9" w:rsidRDefault="008972AB">
      <w:pPr>
        <w:spacing w:line="312" w:lineRule="auto"/>
        <w:rPr>
          <w:sz w:val="24"/>
          <w:szCs w:val="24"/>
        </w:rPr>
      </w:pPr>
      <w:r>
        <w:rPr>
          <w:sz w:val="24"/>
          <w:szCs w:val="24"/>
        </w:rPr>
        <w:t xml:space="preserve">El presente proyecto de acuerdo tiene por objeto establecer un protocolo para gestionar la fatiga y sueño en los conductores que salen de los terminales de transporte terrestre de Bogotá, como una medida que busca disminuir los niveles de accidentabilidad causados por escenarios de microsueño, cansancio y somnolencia durante el traslado de pasajeros por carretera.   </w:t>
      </w:r>
    </w:p>
    <w:p w:rsidR="00E02CE9" w:rsidRDefault="00E02CE9">
      <w:pPr>
        <w:spacing w:line="312" w:lineRule="auto"/>
        <w:rPr>
          <w:sz w:val="24"/>
          <w:szCs w:val="24"/>
        </w:rPr>
      </w:pPr>
    </w:p>
    <w:p w:rsidR="00E02CE9" w:rsidRDefault="008972AB">
      <w:pPr>
        <w:pStyle w:val="Ttulo1"/>
        <w:numPr>
          <w:ilvl w:val="0"/>
          <w:numId w:val="8"/>
        </w:numPr>
        <w:rPr>
          <w:sz w:val="24"/>
          <w:szCs w:val="24"/>
        </w:rPr>
      </w:pPr>
      <w:r>
        <w:rPr>
          <w:sz w:val="24"/>
          <w:szCs w:val="24"/>
        </w:rPr>
        <w:t>Antecedentes</w:t>
      </w:r>
    </w:p>
    <w:p w:rsidR="00E02CE9" w:rsidRDefault="008972AB">
      <w:pPr>
        <w:spacing w:line="312" w:lineRule="auto"/>
        <w:rPr>
          <w:sz w:val="24"/>
          <w:szCs w:val="24"/>
        </w:rPr>
      </w:pPr>
      <w:r>
        <w:rPr>
          <w:sz w:val="24"/>
          <w:szCs w:val="24"/>
        </w:rPr>
        <w:t>La presente iniciativa no ha sido sometida a consideración de la Corporación en oportunidades anteriores.</w:t>
      </w:r>
    </w:p>
    <w:p w:rsidR="00E02CE9" w:rsidRDefault="00E02CE9">
      <w:pPr>
        <w:spacing w:line="312" w:lineRule="auto"/>
        <w:rPr>
          <w:sz w:val="24"/>
          <w:szCs w:val="24"/>
        </w:rPr>
      </w:pPr>
    </w:p>
    <w:p w:rsidR="00E02CE9" w:rsidRDefault="008972AB">
      <w:pPr>
        <w:pStyle w:val="Ttulo1"/>
        <w:numPr>
          <w:ilvl w:val="0"/>
          <w:numId w:val="8"/>
        </w:numPr>
        <w:rPr>
          <w:sz w:val="24"/>
          <w:szCs w:val="24"/>
        </w:rPr>
      </w:pPr>
      <w:r>
        <w:rPr>
          <w:sz w:val="24"/>
          <w:szCs w:val="24"/>
        </w:rPr>
        <w:t>Sustento jurídico de la iniciativa</w:t>
      </w:r>
    </w:p>
    <w:p w:rsidR="00E02CE9" w:rsidRDefault="008972AB">
      <w:pPr>
        <w:spacing w:line="312" w:lineRule="auto"/>
        <w:rPr>
          <w:b/>
          <w:sz w:val="24"/>
          <w:szCs w:val="24"/>
          <w:u w:val="single"/>
        </w:rPr>
      </w:pPr>
      <w:r>
        <w:rPr>
          <w:sz w:val="24"/>
          <w:szCs w:val="24"/>
        </w:rPr>
        <w:t xml:space="preserve">Existen distintas normas que sustentan jurídicamente la procedencia de la iniciativa. Sin embargo, en el presente apartado se incluyen aquellas directamente relacionadas con lo pertinente a la regulación por parte de la nación y el distrito en materia de control y vigilancia a las terminales de transporte. A continuación, se citan y organizan, conforme a su jerarquía normativa, las disposiciones legales que </w:t>
      </w:r>
      <w:r>
        <w:rPr>
          <w:sz w:val="24"/>
          <w:szCs w:val="24"/>
        </w:rPr>
        <w:lastRenderedPageBreak/>
        <w:t>guardan relación directa con el objeto del presente proyecto de acuerdo y que constituyen el fundamento jurídico de esta iniciativa.</w:t>
      </w:r>
    </w:p>
    <w:p w:rsidR="00E02CE9" w:rsidRDefault="008972AB">
      <w:pPr>
        <w:rPr>
          <w:b/>
          <w:sz w:val="24"/>
          <w:szCs w:val="24"/>
          <w:u w:val="single"/>
        </w:rPr>
      </w:pPr>
      <w:r>
        <w:rPr>
          <w:b/>
          <w:sz w:val="24"/>
          <w:szCs w:val="24"/>
          <w:u w:val="single"/>
        </w:rPr>
        <w:t>Marco constitucional</w:t>
      </w:r>
    </w:p>
    <w:p w:rsidR="00E02CE9" w:rsidRDefault="008972AB">
      <w:pPr>
        <w:rPr>
          <w:sz w:val="24"/>
          <w:szCs w:val="24"/>
        </w:rPr>
      </w:pPr>
      <w:r>
        <w:rPr>
          <w:sz w:val="24"/>
          <w:szCs w:val="24"/>
        </w:rPr>
        <w:t xml:space="preserve">Este proyecto de acuerdo se fundamenta en los derechos y normas constitucionales asociados a la movilidad de la siguiente manera: </w:t>
      </w:r>
    </w:p>
    <w:p w:rsidR="00E02CE9" w:rsidRDefault="008972AB">
      <w:pPr>
        <w:rPr>
          <w:sz w:val="24"/>
          <w:szCs w:val="24"/>
        </w:rPr>
      </w:pPr>
      <w:r>
        <w:rPr>
          <w:sz w:val="24"/>
          <w:szCs w:val="24"/>
        </w:rPr>
        <w:t xml:space="preserve">El artículo 2 de la Constitución Política de Colombia establece que “las autoridades de la República están instituidas para proteger a todas las personas residentes en Colombia, en su vida, honra, bienes, creencias y demás derechos y libertades, y para asegurar el cumplimiento de los deberes sociales del Estado y de los particulares.” El artículo 11 de la Constitución establece que </w:t>
      </w:r>
      <w:r>
        <w:rPr>
          <w:i/>
          <w:sz w:val="24"/>
          <w:szCs w:val="24"/>
        </w:rPr>
        <w:t>“el derecho a la vida es inviolable”</w:t>
      </w:r>
      <w:r>
        <w:rPr>
          <w:sz w:val="24"/>
          <w:szCs w:val="24"/>
        </w:rPr>
        <w:t xml:space="preserve">; el artículo 24 dicta que </w:t>
      </w:r>
      <w:r>
        <w:rPr>
          <w:i/>
          <w:sz w:val="24"/>
          <w:szCs w:val="24"/>
        </w:rPr>
        <w:t>“todo colombiano, con las limitaciones que establezca la ley, tiene derecho a circular libremente por el territorio nacional, a entrar y salir de él”</w:t>
      </w:r>
      <w:r>
        <w:rPr>
          <w:sz w:val="24"/>
          <w:szCs w:val="24"/>
        </w:rPr>
        <w:t xml:space="preserve">. En este sentido, la Carta Magna protege el derecho a la vida , la seguridad de las personas y el derecho a la locomoción. </w:t>
      </w:r>
    </w:p>
    <w:p w:rsidR="00E02CE9" w:rsidRDefault="008972AB">
      <w:pPr>
        <w:rPr>
          <w:sz w:val="24"/>
          <w:szCs w:val="24"/>
        </w:rPr>
      </w:pPr>
      <w:r>
        <w:rPr>
          <w:sz w:val="24"/>
          <w:szCs w:val="24"/>
        </w:rPr>
        <w:t xml:space="preserve">Aunado a esto, el artículo 26 de la Constitución establece que </w:t>
      </w:r>
      <w:r>
        <w:rPr>
          <w:i/>
          <w:sz w:val="24"/>
          <w:szCs w:val="24"/>
        </w:rPr>
        <w:t xml:space="preserve">“toda persona es libre de escoger su profesión u oficio. (...) Las ocupaciones, artes y oficios que no exijan formación académica son de libre ejercicio, salvo aquellas que impliquen un riesgo social. (...)”. </w:t>
      </w:r>
      <w:r>
        <w:rPr>
          <w:sz w:val="24"/>
          <w:szCs w:val="24"/>
        </w:rPr>
        <w:t>La conducción de vehículos de transporte público intermunicipal constituye una de estas actividades, dada su incidencia directa en la seguridad vial y en la vida de los pasajeros, transeúntes y demás actores viales.</w:t>
      </w:r>
    </w:p>
    <w:p w:rsidR="00E02CE9" w:rsidRDefault="008972AB">
      <w:pPr>
        <w:rPr>
          <w:sz w:val="24"/>
          <w:szCs w:val="24"/>
        </w:rPr>
      </w:pPr>
      <w:r>
        <w:rPr>
          <w:sz w:val="24"/>
          <w:szCs w:val="24"/>
        </w:rPr>
        <w:t xml:space="preserve">Desde esta perspectiva se reconoce el derecho a la vida como un derecho fundamental e inviolable; en consecuencia, la movilidad debe desarrollarse en condiciones de seguridad. Esto quiere decir que el Estado está en la obligación de regular los comportamientos asociados a la movilidad que pueden poner en peligro la vida de las personas. Esto a su vez garantiza el derecho a la locomoción de las personas en territorio colombiano, debido a que las condiciones de seguridad son necesarias para que los ciudadanos y residentes de se puedan mover libremente por el territorio nacional. </w:t>
      </w:r>
    </w:p>
    <w:p w:rsidR="00E02CE9" w:rsidRDefault="008972AB">
      <w:pPr>
        <w:spacing w:before="240" w:after="240"/>
        <w:rPr>
          <w:sz w:val="24"/>
          <w:szCs w:val="24"/>
        </w:rPr>
      </w:pPr>
      <w:r>
        <w:rPr>
          <w:sz w:val="24"/>
          <w:szCs w:val="24"/>
        </w:rPr>
        <w:t>Cabe resaltar que el derecho a la libre circulación, consagrado en el artículo 24 de la Constitución, no tiene carácter absoluto. Su ejercicio se encuentra condicionado por los límites que impone el orden jurídico, especialmente en lo relativo a la seguridad, el bienestar general y los derechos de terceros. En este sentido, toda persona debe ejercer su derecho a la movilidad de forma razonable, respetuosa y responsable, sin afectar negativamente la seguridad vial, el entorno ambiental u otros bienes jurídicamente protegidos.</w:t>
      </w:r>
    </w:p>
    <w:p w:rsidR="00E02CE9" w:rsidRDefault="008972AB">
      <w:pPr>
        <w:spacing w:before="240" w:after="240"/>
        <w:rPr>
          <w:sz w:val="24"/>
          <w:szCs w:val="24"/>
        </w:rPr>
      </w:pPr>
      <w:r>
        <w:rPr>
          <w:sz w:val="24"/>
          <w:szCs w:val="24"/>
        </w:rPr>
        <w:t>En consecuencia, y considerando que la actividad de conducción, especialmente en el transporte público intermunicipal, representa un riesgo social elevado, el Estado tiene no solo la facultad, sino el deber de intervenir mediante medidas regulatorias orientadas a prevenir conductas que puedan comprometer la vida e integridad de las personas y perturbar la convivencia pacífica.</w:t>
      </w:r>
    </w:p>
    <w:p w:rsidR="00E02CE9" w:rsidRDefault="008972AB">
      <w:pPr>
        <w:spacing w:before="240" w:after="240"/>
        <w:rPr>
          <w:color w:val="FF0000"/>
          <w:sz w:val="24"/>
          <w:szCs w:val="24"/>
        </w:rPr>
      </w:pPr>
      <w:r>
        <w:rPr>
          <w:sz w:val="24"/>
          <w:szCs w:val="24"/>
        </w:rPr>
        <w:t>Es por ello que se hace necesaria la adopción de una norma que permita identificar, medir y controlar los niveles de fatiga en los conductores de buses intermunicipales. Dada la naturaleza exigente de esta labor —caracterizada por extensas jornadas laborales y descanso insuficiente— se deben establecer mecanismos que garanticen condiciones mínimas de seguridad tanto para los trabajadores como para los usuarios del sistema de transporte.</w:t>
      </w:r>
    </w:p>
    <w:p w:rsidR="00E02CE9" w:rsidRDefault="008972AB">
      <w:pPr>
        <w:spacing w:before="240" w:after="240"/>
        <w:rPr>
          <w:sz w:val="24"/>
          <w:szCs w:val="24"/>
        </w:rPr>
      </w:pPr>
      <w:r>
        <w:rPr>
          <w:sz w:val="24"/>
          <w:szCs w:val="24"/>
        </w:rPr>
        <w:t>En concordancia con lo anterior, es pertinente resaltar los artículos constitucionales que amparan los derechos de los trabajadores, especialmente en lo relacionado con su salud, seguridad y bienestar. El artículo 53 de la Constitución Política establece los principios mínimos fundamentales del trabajo, entre los cuales se incluyen expresamente la seguridad laboral y el descanso necesario, elementos esenciales para garantizar condiciones dignas y justas en el ejercicio de cualquier actividad económica.</w:t>
      </w:r>
    </w:p>
    <w:p w:rsidR="00E02CE9" w:rsidRDefault="008972AB">
      <w:pPr>
        <w:spacing w:before="240" w:after="240"/>
        <w:rPr>
          <w:sz w:val="24"/>
          <w:szCs w:val="24"/>
        </w:rPr>
      </w:pPr>
      <w:r>
        <w:rPr>
          <w:sz w:val="24"/>
          <w:szCs w:val="24"/>
        </w:rPr>
        <w:t xml:space="preserve">Por su parte, el artículo 93 de la misma norma superior dispone que los tratados y convenios internacionales sobre derechos humanos, ratificados por Colombia, prevalecen en el orden interno y hacen parte del bloque de constitucionalidad. En virtud de esta disposición, adquieren fuerza vinculante instrumentos como el Convenio 155 de la Organización Internacional del Trabajo (OIT), relativo a la seguridad y salud de los trabajadores, y el Convenio 187 de la OIT, que refuerza el derecho de los trabajadores a un entorno laboral seguro y saludable. </w:t>
      </w:r>
    </w:p>
    <w:p w:rsidR="00E02CE9" w:rsidRDefault="00E02CE9">
      <w:pPr>
        <w:rPr>
          <w:b/>
          <w:sz w:val="24"/>
          <w:szCs w:val="24"/>
          <w:u w:val="single"/>
        </w:rPr>
      </w:pPr>
    </w:p>
    <w:p w:rsidR="00E02CE9" w:rsidRDefault="008972AB">
      <w:pPr>
        <w:rPr>
          <w:b/>
          <w:sz w:val="24"/>
          <w:szCs w:val="24"/>
          <w:u w:val="single"/>
        </w:rPr>
      </w:pPr>
      <w:r>
        <w:rPr>
          <w:b/>
          <w:sz w:val="24"/>
          <w:szCs w:val="24"/>
          <w:u w:val="single"/>
        </w:rPr>
        <w:t xml:space="preserve">Marco legal: </w:t>
      </w:r>
    </w:p>
    <w:p w:rsidR="00E02CE9" w:rsidRDefault="008972AB">
      <w:pPr>
        <w:spacing w:line="312" w:lineRule="auto"/>
        <w:rPr>
          <w:sz w:val="24"/>
          <w:szCs w:val="24"/>
        </w:rPr>
      </w:pPr>
      <w:r>
        <w:rPr>
          <w:sz w:val="24"/>
          <w:szCs w:val="24"/>
        </w:rPr>
        <w:t>El legislador mediante la Ley 1503 de 2011 estableció como herramienta para la prevención y control de los riesgos asociados a la accidentalidad, entre otros, los Planes Estratégicos de Seguridad Vial (PESV).</w:t>
      </w:r>
    </w:p>
    <w:p w:rsidR="00E02CE9" w:rsidRDefault="008972AB">
      <w:pPr>
        <w:spacing w:line="312" w:lineRule="auto"/>
        <w:rPr>
          <w:sz w:val="24"/>
          <w:szCs w:val="24"/>
        </w:rPr>
      </w:pPr>
      <w:r>
        <w:rPr>
          <w:sz w:val="24"/>
          <w:szCs w:val="24"/>
        </w:rPr>
        <w:t xml:space="preserve">Con relación </w:t>
      </w:r>
      <w:r>
        <w:rPr>
          <w:b/>
          <w:sz w:val="24"/>
          <w:szCs w:val="24"/>
        </w:rPr>
        <w:t>a la definición de los PESV</w:t>
      </w:r>
      <w:r>
        <w:rPr>
          <w:sz w:val="24"/>
          <w:szCs w:val="24"/>
        </w:rPr>
        <w:t xml:space="preserve"> el literal a) del artículo </w:t>
      </w:r>
      <w:hyperlink r:id="rId8" w:anchor="2.3.2.1">
        <w:r>
          <w:rPr>
            <w:sz w:val="24"/>
            <w:szCs w:val="24"/>
            <w:u w:val="single"/>
          </w:rPr>
          <w:t>2.3.2.1</w:t>
        </w:r>
      </w:hyperlink>
      <w:r>
        <w:rPr>
          <w:sz w:val="24"/>
          <w:szCs w:val="24"/>
        </w:rPr>
        <w:t xml:space="preserve"> Decreto 1079 de 2015 "Por medio del cual se expide el Decreto Único Reglamentario del Sector Transporte, estableció lo siguiente: </w:t>
      </w:r>
    </w:p>
    <w:p w:rsidR="00E02CE9" w:rsidRDefault="008972AB">
      <w:pPr>
        <w:spacing w:before="160" w:after="160" w:line="240" w:lineRule="auto"/>
        <w:ind w:left="709"/>
        <w:rPr>
          <w:sz w:val="24"/>
          <w:szCs w:val="24"/>
        </w:rPr>
      </w:pPr>
      <w:r>
        <w:rPr>
          <w:i/>
          <w:sz w:val="24"/>
          <w:szCs w:val="24"/>
        </w:rPr>
        <w:t>"a)</w:t>
      </w:r>
      <w:r>
        <w:rPr>
          <w:b/>
          <w:i/>
          <w:sz w:val="24"/>
          <w:szCs w:val="24"/>
        </w:rPr>
        <w:t xml:space="preserve"> Plan Estratégico de Seguridad Vial</w:t>
      </w:r>
      <w:r>
        <w:rPr>
          <w:i/>
          <w:sz w:val="24"/>
          <w:szCs w:val="24"/>
        </w:rPr>
        <w:t xml:space="preserve">: Herramienta de gestión que contiene las acciones, mecanismos, estrategias y medidas de planificación, implementación, seguimiento y mejora que deben adoptar las diferentes entidades, organizaciones o empresas del sector público o privado de conformidad con el artículo </w:t>
      </w:r>
      <w:hyperlink r:id="rId9" w:anchor="110">
        <w:r>
          <w:rPr>
            <w:i/>
            <w:sz w:val="24"/>
            <w:szCs w:val="24"/>
          </w:rPr>
          <w:t>110</w:t>
        </w:r>
      </w:hyperlink>
      <w:r>
        <w:rPr>
          <w:i/>
          <w:sz w:val="24"/>
          <w:szCs w:val="24"/>
        </w:rPr>
        <w:t xml:space="preserve"> del Decreto Ley 2106 de 2019</w:t>
      </w:r>
      <w:r>
        <w:rPr>
          <w:b/>
          <w:i/>
          <w:sz w:val="24"/>
          <w:szCs w:val="24"/>
        </w:rPr>
        <w:t>, encaminadas a generar hábitos, comportamientos y conductas seguras en las vías para prevenir riesgos, reducir la accidentalidad vial y disminuir sus efectos nocivos</w:t>
      </w:r>
      <w:r>
        <w:rPr>
          <w:i/>
          <w:sz w:val="24"/>
          <w:szCs w:val="24"/>
        </w:rPr>
        <w:t>. "</w:t>
      </w:r>
      <w:r>
        <w:rPr>
          <w:sz w:val="24"/>
          <w:szCs w:val="24"/>
        </w:rPr>
        <w:t xml:space="preserve"> </w:t>
      </w:r>
    </w:p>
    <w:p w:rsidR="00E02CE9" w:rsidRDefault="008972AB">
      <w:pPr>
        <w:spacing w:before="160" w:after="160" w:line="240" w:lineRule="auto"/>
        <w:ind w:left="709"/>
        <w:rPr>
          <w:sz w:val="24"/>
          <w:szCs w:val="24"/>
        </w:rPr>
      </w:pPr>
      <w:r>
        <w:rPr>
          <w:sz w:val="24"/>
          <w:szCs w:val="24"/>
        </w:rPr>
        <w:t>(Negrilla fuera del texto)</w:t>
      </w:r>
    </w:p>
    <w:p w:rsidR="00E02CE9" w:rsidRDefault="008972AB">
      <w:pPr>
        <w:spacing w:after="240"/>
        <w:rPr>
          <w:sz w:val="24"/>
          <w:szCs w:val="24"/>
        </w:rPr>
      </w:pPr>
      <w:r>
        <w:rPr>
          <w:sz w:val="24"/>
          <w:szCs w:val="24"/>
        </w:rPr>
        <w:t xml:space="preserve">De acuerdo con el artículo 12 de la Ley 1503 de 2011 toda empresa, entidad u organización que cuente con más de 10 vehículos automotores o no automotores debe diseñar e implementar un Plan Estratégico de Seguridad Vial. </w:t>
      </w:r>
    </w:p>
    <w:p w:rsidR="00E02CE9" w:rsidRDefault="008972AB">
      <w:pPr>
        <w:spacing w:after="0" w:line="240" w:lineRule="auto"/>
        <w:ind w:left="720"/>
        <w:rPr>
          <w:i/>
          <w:sz w:val="24"/>
          <w:szCs w:val="24"/>
        </w:rPr>
      </w:pPr>
      <w:r>
        <w:rPr>
          <w:b/>
          <w:i/>
          <w:sz w:val="24"/>
          <w:szCs w:val="24"/>
          <w:highlight w:val="white"/>
        </w:rPr>
        <w:t xml:space="preserve">Artículo 12. </w:t>
      </w:r>
      <w:hyperlink r:id="rId10" w:anchor="110">
        <w:r>
          <w:rPr>
            <w:i/>
            <w:sz w:val="24"/>
            <w:szCs w:val="24"/>
            <w:highlight w:val="white"/>
          </w:rPr>
          <w:t>Modificado por el art. 110, Decreto Nacional 2106 de 2019.</w:t>
        </w:r>
      </w:hyperlink>
      <w:r>
        <w:rPr>
          <w:i/>
          <w:sz w:val="24"/>
          <w:szCs w:val="24"/>
          <w:highlight w:val="white"/>
        </w:rPr>
        <w:t xml:space="preserve"> </w:t>
      </w:r>
      <w:r>
        <w:rPr>
          <w:b/>
          <w:i/>
          <w:sz w:val="24"/>
          <w:szCs w:val="24"/>
          <w:highlight w:val="white"/>
        </w:rPr>
        <w:t xml:space="preserve"> </w:t>
      </w:r>
      <w:r>
        <w:rPr>
          <w:i/>
          <w:sz w:val="24"/>
          <w:szCs w:val="24"/>
          <w:highlight w:val="white"/>
        </w:rPr>
        <w:t>Diseño, implementación y verificación del Plan Estratégico de Seguridad Vial</w:t>
      </w:r>
      <w:r>
        <w:rPr>
          <w:b/>
          <w:i/>
          <w:sz w:val="24"/>
          <w:szCs w:val="24"/>
          <w:highlight w:val="white"/>
        </w:rPr>
        <w:t>.</w:t>
      </w:r>
      <w:r>
        <w:rPr>
          <w:i/>
          <w:sz w:val="24"/>
          <w:szCs w:val="24"/>
          <w:highlight w:val="white"/>
        </w:rPr>
        <w:t xml:space="preserve"> Toda entidad, organización o empresa del sector público o privado, que cuente con una flota de vehículos automotores o no automotores superior a diez (10) unidades, o que contrate o administre personal de conductores, deberá diseñar e implementar un Plan Estratégico de Seguridad Vial en función de su misionalidad y tamaño, de acuerdo con la metodología expedida por el Ministerio de Transporte y articularlo con su Sistema de Gestión de Seguridad y Salud en el Trabajo -SGSST.En ningún caso el Plan Estratégico de Seguridad Vial requerirá aval para su implementación.</w:t>
      </w:r>
    </w:p>
    <w:p w:rsidR="00E02CE9" w:rsidRDefault="00E02CE9">
      <w:pPr>
        <w:shd w:val="clear" w:color="auto" w:fill="FFFFFF"/>
        <w:spacing w:after="0" w:line="240" w:lineRule="auto"/>
        <w:ind w:left="720"/>
        <w:rPr>
          <w:sz w:val="24"/>
          <w:szCs w:val="24"/>
        </w:rPr>
      </w:pPr>
    </w:p>
    <w:p w:rsidR="00E02CE9" w:rsidRDefault="008972AB">
      <w:pPr>
        <w:shd w:val="clear" w:color="auto" w:fill="FFFFFF"/>
        <w:spacing w:after="0" w:line="240" w:lineRule="auto"/>
        <w:rPr>
          <w:sz w:val="24"/>
          <w:szCs w:val="24"/>
        </w:rPr>
      </w:pPr>
      <w:r>
        <w:rPr>
          <w:sz w:val="24"/>
          <w:szCs w:val="24"/>
        </w:rPr>
        <w:t xml:space="preserve">Con relación al </w:t>
      </w:r>
      <w:r>
        <w:rPr>
          <w:b/>
          <w:sz w:val="24"/>
          <w:szCs w:val="24"/>
        </w:rPr>
        <w:t>contenido mínimo que deben tener los planes PESV</w:t>
      </w:r>
      <w:r>
        <w:rPr>
          <w:sz w:val="24"/>
          <w:szCs w:val="24"/>
        </w:rPr>
        <w:t xml:space="preserve">, la norma ibídem establece lo siguiente: </w:t>
      </w:r>
    </w:p>
    <w:p w:rsidR="00E02CE9" w:rsidRDefault="00E02CE9">
      <w:pPr>
        <w:shd w:val="clear" w:color="auto" w:fill="FFFFFF"/>
        <w:spacing w:after="0" w:line="240" w:lineRule="auto"/>
        <w:rPr>
          <w:sz w:val="24"/>
          <w:szCs w:val="24"/>
        </w:rPr>
      </w:pPr>
    </w:p>
    <w:p w:rsidR="00E02CE9" w:rsidRDefault="008972AB">
      <w:pPr>
        <w:shd w:val="clear" w:color="auto" w:fill="FFFFFF"/>
        <w:spacing w:after="0" w:line="240" w:lineRule="auto"/>
        <w:rPr>
          <w:sz w:val="24"/>
          <w:szCs w:val="24"/>
        </w:rPr>
      </w:pPr>
      <w:r>
        <w:rPr>
          <w:sz w:val="24"/>
          <w:szCs w:val="24"/>
        </w:rPr>
        <w:tab/>
        <w:t>(…)</w:t>
      </w:r>
    </w:p>
    <w:p w:rsidR="00E02CE9" w:rsidRDefault="008972AB">
      <w:pPr>
        <w:shd w:val="clear" w:color="auto" w:fill="FFFFFF"/>
        <w:spacing w:after="0" w:line="240" w:lineRule="auto"/>
        <w:ind w:left="709"/>
        <w:rPr>
          <w:sz w:val="24"/>
          <w:szCs w:val="24"/>
        </w:rPr>
      </w:pPr>
      <w:r>
        <w:rPr>
          <w:sz w:val="24"/>
          <w:szCs w:val="24"/>
        </w:rPr>
        <w:t>Para tal efecto, deberá diseñar el Plan Estratégico de Seguridad Vial que contendrá como mínimo:</w:t>
      </w:r>
    </w:p>
    <w:p w:rsidR="00E02CE9" w:rsidRDefault="008972AB">
      <w:pPr>
        <w:shd w:val="clear" w:color="auto" w:fill="FFFFFF"/>
        <w:spacing w:after="0" w:line="240" w:lineRule="auto"/>
        <w:ind w:left="720"/>
        <w:rPr>
          <w:sz w:val="24"/>
          <w:szCs w:val="24"/>
        </w:rPr>
      </w:pPr>
      <w:r>
        <w:rPr>
          <w:sz w:val="24"/>
          <w:szCs w:val="24"/>
        </w:rPr>
        <w:t> </w:t>
      </w:r>
    </w:p>
    <w:p w:rsidR="00E02CE9" w:rsidRDefault="008972AB">
      <w:pPr>
        <w:shd w:val="clear" w:color="auto" w:fill="FFFFFF"/>
        <w:spacing w:after="0" w:line="240" w:lineRule="auto"/>
        <w:ind w:left="720"/>
        <w:rPr>
          <w:sz w:val="24"/>
          <w:szCs w:val="24"/>
        </w:rPr>
      </w:pPr>
      <w:r>
        <w:rPr>
          <w:sz w:val="24"/>
          <w:szCs w:val="24"/>
        </w:rPr>
        <w:t>1. Diagnóstico y caracterización de los riesgos de seguridad vial de la empresa, asociados a la flota de vehículos o al personal de conductores.</w:t>
      </w:r>
    </w:p>
    <w:p w:rsidR="00E02CE9" w:rsidRDefault="008972AB">
      <w:pPr>
        <w:shd w:val="clear" w:color="auto" w:fill="FFFFFF"/>
        <w:spacing w:after="0" w:line="240" w:lineRule="auto"/>
        <w:ind w:left="720"/>
        <w:rPr>
          <w:sz w:val="24"/>
          <w:szCs w:val="24"/>
        </w:rPr>
      </w:pPr>
      <w:r>
        <w:rPr>
          <w:sz w:val="24"/>
          <w:szCs w:val="24"/>
        </w:rPr>
        <w:t> </w:t>
      </w:r>
    </w:p>
    <w:p w:rsidR="00E02CE9" w:rsidRDefault="008972AB">
      <w:pPr>
        <w:shd w:val="clear" w:color="auto" w:fill="FFFFFF"/>
        <w:spacing w:after="0" w:line="240" w:lineRule="auto"/>
        <w:ind w:left="720"/>
        <w:rPr>
          <w:sz w:val="24"/>
          <w:szCs w:val="24"/>
        </w:rPr>
      </w:pPr>
      <w:r>
        <w:rPr>
          <w:sz w:val="24"/>
          <w:szCs w:val="24"/>
        </w:rPr>
        <w:t>2. Capacitaciones en seguridad vial a los trabajadores de su entidad, organización o empresa independientemente del cargo o rol que desempeñe.</w:t>
      </w:r>
    </w:p>
    <w:p w:rsidR="00E02CE9" w:rsidRDefault="008972AB">
      <w:pPr>
        <w:shd w:val="clear" w:color="auto" w:fill="FFFFFF"/>
        <w:spacing w:after="0" w:line="240" w:lineRule="auto"/>
        <w:ind w:left="720"/>
        <w:rPr>
          <w:sz w:val="24"/>
          <w:szCs w:val="24"/>
        </w:rPr>
      </w:pPr>
      <w:r>
        <w:rPr>
          <w:sz w:val="24"/>
          <w:szCs w:val="24"/>
        </w:rPr>
        <w:t> </w:t>
      </w:r>
    </w:p>
    <w:p w:rsidR="00E02CE9" w:rsidRDefault="008972AB">
      <w:pPr>
        <w:shd w:val="clear" w:color="auto" w:fill="FFFFFF"/>
        <w:spacing w:after="0" w:line="240" w:lineRule="auto"/>
        <w:ind w:left="720"/>
        <w:rPr>
          <w:sz w:val="24"/>
          <w:szCs w:val="24"/>
        </w:rPr>
      </w:pPr>
      <w:r>
        <w:rPr>
          <w:sz w:val="24"/>
          <w:szCs w:val="24"/>
        </w:rPr>
        <w:t>3. Compromisos claros del nivel directivo de la entidad, organización o empresa orientados al cumplimiento de las acciones y estrategias en seguridad vial.</w:t>
      </w:r>
    </w:p>
    <w:p w:rsidR="00E02CE9" w:rsidRDefault="008972AB">
      <w:pPr>
        <w:shd w:val="clear" w:color="auto" w:fill="FFFFFF"/>
        <w:spacing w:after="0" w:line="240" w:lineRule="auto"/>
        <w:ind w:left="720"/>
        <w:rPr>
          <w:sz w:val="24"/>
          <w:szCs w:val="24"/>
        </w:rPr>
      </w:pPr>
      <w:r>
        <w:rPr>
          <w:sz w:val="24"/>
          <w:szCs w:val="24"/>
        </w:rPr>
        <w:t> </w:t>
      </w:r>
    </w:p>
    <w:p w:rsidR="00E02CE9" w:rsidRDefault="008972AB">
      <w:pPr>
        <w:shd w:val="clear" w:color="auto" w:fill="FFFFFF"/>
        <w:spacing w:after="0" w:line="240" w:lineRule="auto"/>
        <w:ind w:left="720"/>
        <w:rPr>
          <w:sz w:val="24"/>
          <w:szCs w:val="24"/>
        </w:rPr>
      </w:pPr>
      <w:r>
        <w:rPr>
          <w:sz w:val="24"/>
          <w:szCs w:val="24"/>
        </w:rPr>
        <w:t>4. Actividades de inspección y mantenimiento periódico a los vehículos de la entidad Organización o empresa incluidos los vehículos propios de los trabajadores puestos al servicio de la organización para el cumplimiento misional de su objeto o función.</w:t>
      </w:r>
    </w:p>
    <w:p w:rsidR="00E02CE9" w:rsidRDefault="00E02CE9">
      <w:pPr>
        <w:shd w:val="clear" w:color="auto" w:fill="FFFFFF"/>
        <w:spacing w:after="0" w:line="240" w:lineRule="auto"/>
        <w:ind w:left="720"/>
        <w:rPr>
          <w:sz w:val="24"/>
          <w:szCs w:val="24"/>
        </w:rPr>
      </w:pPr>
    </w:p>
    <w:p w:rsidR="00E02CE9" w:rsidRDefault="008972AB">
      <w:pPr>
        <w:spacing w:after="0" w:line="240" w:lineRule="auto"/>
        <w:rPr>
          <w:sz w:val="24"/>
          <w:szCs w:val="24"/>
        </w:rPr>
      </w:pPr>
      <w:r>
        <w:rPr>
          <w:sz w:val="24"/>
          <w:szCs w:val="24"/>
        </w:rPr>
        <w:t xml:space="preserve">Con relación a la </w:t>
      </w:r>
      <w:r>
        <w:rPr>
          <w:b/>
          <w:sz w:val="24"/>
          <w:szCs w:val="24"/>
        </w:rPr>
        <w:t xml:space="preserve">metodología, </w:t>
      </w:r>
      <w:r>
        <w:rPr>
          <w:b/>
          <w:sz w:val="24"/>
          <w:szCs w:val="24"/>
          <w:highlight w:val="white"/>
        </w:rPr>
        <w:t>diseño, implementación y verificación de los Planes Estratégicos de Seguridad Vial</w:t>
      </w:r>
      <w:r>
        <w:rPr>
          <w:sz w:val="24"/>
          <w:szCs w:val="24"/>
          <w:highlight w:val="white"/>
        </w:rPr>
        <w:t>, el Ministerio de Transporte expidió</w:t>
      </w:r>
      <w:r>
        <w:rPr>
          <w:sz w:val="24"/>
          <w:szCs w:val="24"/>
        </w:rPr>
        <w:t xml:space="preserve"> la Resolución 20223040040595 de 2022. Esta resolución contiene un anexo técnico detallado que deben cumplir las empresas y entidades obligadas. </w:t>
      </w:r>
    </w:p>
    <w:p w:rsidR="00E02CE9" w:rsidRDefault="00E02CE9">
      <w:pPr>
        <w:spacing w:after="0" w:line="240" w:lineRule="auto"/>
        <w:rPr>
          <w:sz w:val="24"/>
          <w:szCs w:val="24"/>
        </w:rPr>
      </w:pPr>
    </w:p>
    <w:p w:rsidR="00E02CE9" w:rsidRDefault="008972AB">
      <w:pPr>
        <w:spacing w:after="0" w:line="240" w:lineRule="auto"/>
        <w:rPr>
          <w:sz w:val="24"/>
          <w:szCs w:val="24"/>
        </w:rPr>
      </w:pPr>
      <w:r>
        <w:rPr>
          <w:sz w:val="24"/>
          <w:szCs w:val="24"/>
        </w:rPr>
        <w:t xml:space="preserve">Dentro de las obligaciones establecidas por la resolución, y que guardan relación con el propósito del Proyecto de Acuerdo, se destacan las siguientes: </w:t>
      </w:r>
    </w:p>
    <w:p w:rsidR="00E02CE9" w:rsidRDefault="00E02CE9">
      <w:pPr>
        <w:spacing w:after="0" w:line="240" w:lineRule="auto"/>
        <w:rPr>
          <w:sz w:val="24"/>
          <w:szCs w:val="24"/>
        </w:rPr>
      </w:pPr>
    </w:p>
    <w:p w:rsidR="00E02CE9" w:rsidRDefault="008972AB">
      <w:pPr>
        <w:numPr>
          <w:ilvl w:val="0"/>
          <w:numId w:val="2"/>
        </w:numPr>
        <w:spacing w:after="0" w:line="240" w:lineRule="auto"/>
        <w:rPr>
          <w:sz w:val="24"/>
          <w:szCs w:val="24"/>
        </w:rPr>
      </w:pPr>
      <w:r>
        <w:rPr>
          <w:sz w:val="24"/>
          <w:szCs w:val="24"/>
        </w:rPr>
        <w:t>Se define la creación de un Comité de Seguridad Vial</w:t>
      </w:r>
    </w:p>
    <w:p w:rsidR="00E02CE9" w:rsidRDefault="008972AB">
      <w:pPr>
        <w:spacing w:after="0" w:line="240" w:lineRule="auto"/>
        <w:ind w:left="720"/>
        <w:rPr>
          <w:sz w:val="24"/>
          <w:szCs w:val="24"/>
        </w:rPr>
      </w:pPr>
      <w:r>
        <w:rPr>
          <w:sz w:val="24"/>
          <w:szCs w:val="24"/>
        </w:rPr>
        <w:t xml:space="preserve">Dentro de las obligaciones a cargo de este Comité se encuentra la de: </w:t>
      </w:r>
    </w:p>
    <w:p w:rsidR="00E02CE9" w:rsidRDefault="008972AB">
      <w:pPr>
        <w:spacing w:after="0" w:line="240" w:lineRule="auto"/>
        <w:ind w:left="720"/>
        <w:rPr>
          <w:sz w:val="24"/>
          <w:szCs w:val="24"/>
        </w:rPr>
      </w:pPr>
      <w:r>
        <w:rPr>
          <w:i/>
          <w:sz w:val="24"/>
          <w:szCs w:val="24"/>
        </w:rPr>
        <w:t xml:space="preserve">“e) </w:t>
      </w:r>
      <w:r>
        <w:rPr>
          <w:b/>
          <w:i/>
          <w:sz w:val="24"/>
          <w:szCs w:val="24"/>
        </w:rPr>
        <w:t>Analizar los indicadores de siniestralidad vial</w:t>
      </w:r>
      <w:r>
        <w:rPr>
          <w:i/>
          <w:sz w:val="24"/>
          <w:szCs w:val="24"/>
        </w:rPr>
        <w:t xml:space="preserve">, las investigaciones internas de siniestros viales y </w:t>
      </w:r>
      <w:r>
        <w:rPr>
          <w:b/>
          <w:i/>
          <w:sz w:val="24"/>
          <w:szCs w:val="24"/>
        </w:rPr>
        <w:t>realizar seguimiento a los planes de acción que surgen de los resultados</w:t>
      </w:r>
      <w:r>
        <w:rPr>
          <w:i/>
          <w:sz w:val="24"/>
          <w:szCs w:val="24"/>
        </w:rPr>
        <w:t xml:space="preserve"> o conclusiones de las investigaciones, teniendo en cuenta que se deben investigar todos los siniestros viales donde se ven involucrados colaboradores de la organización que realizan desplazamientos laborales, donde se presentan muertos, lesionados o daños de la organización o de terceros”</w:t>
      </w:r>
      <w:r>
        <w:rPr>
          <w:sz w:val="24"/>
          <w:szCs w:val="24"/>
        </w:rPr>
        <w:t>.</w:t>
      </w:r>
    </w:p>
    <w:p w:rsidR="00E02CE9" w:rsidRDefault="00E02CE9">
      <w:pPr>
        <w:rPr>
          <w:sz w:val="24"/>
          <w:szCs w:val="24"/>
        </w:rPr>
      </w:pPr>
    </w:p>
    <w:p w:rsidR="00E02CE9" w:rsidRDefault="008972AB">
      <w:pPr>
        <w:numPr>
          <w:ilvl w:val="0"/>
          <w:numId w:val="2"/>
        </w:numPr>
        <w:rPr>
          <w:sz w:val="24"/>
          <w:szCs w:val="24"/>
        </w:rPr>
      </w:pPr>
      <w:r>
        <w:rPr>
          <w:sz w:val="24"/>
          <w:szCs w:val="24"/>
        </w:rPr>
        <w:t>La organización o empresa obligadas debe diseñar e implementar, entre otros, los siguientes programas:</w:t>
      </w:r>
    </w:p>
    <w:p w:rsidR="00E02CE9" w:rsidRDefault="008972AB">
      <w:pPr>
        <w:numPr>
          <w:ilvl w:val="0"/>
          <w:numId w:val="7"/>
        </w:numPr>
        <w:spacing w:before="160" w:after="160" w:line="240" w:lineRule="auto"/>
        <w:rPr>
          <w:sz w:val="24"/>
          <w:szCs w:val="24"/>
        </w:rPr>
      </w:pPr>
      <w:r>
        <w:rPr>
          <w:sz w:val="24"/>
          <w:szCs w:val="24"/>
        </w:rPr>
        <w:t>Programa de Gestión de la Velocidad Segura</w:t>
      </w:r>
    </w:p>
    <w:p w:rsidR="00E02CE9" w:rsidRDefault="008972AB">
      <w:pPr>
        <w:numPr>
          <w:ilvl w:val="0"/>
          <w:numId w:val="7"/>
        </w:numPr>
        <w:spacing w:before="160" w:after="160" w:line="240" w:lineRule="auto"/>
        <w:rPr>
          <w:b/>
          <w:sz w:val="24"/>
          <w:szCs w:val="24"/>
        </w:rPr>
      </w:pPr>
      <w:r>
        <w:rPr>
          <w:b/>
          <w:sz w:val="24"/>
          <w:szCs w:val="24"/>
        </w:rPr>
        <w:t>Programa de Prevención de la Fatiga</w:t>
      </w:r>
    </w:p>
    <w:p w:rsidR="00E02CE9" w:rsidRDefault="008972AB">
      <w:pPr>
        <w:numPr>
          <w:ilvl w:val="0"/>
          <w:numId w:val="7"/>
        </w:numPr>
        <w:spacing w:before="160" w:after="160" w:line="240" w:lineRule="auto"/>
        <w:rPr>
          <w:sz w:val="24"/>
          <w:szCs w:val="24"/>
        </w:rPr>
      </w:pPr>
      <w:r>
        <w:rPr>
          <w:sz w:val="24"/>
          <w:szCs w:val="24"/>
        </w:rPr>
        <w:t xml:space="preserve">Programa de Prevención de la Distracción </w:t>
      </w:r>
    </w:p>
    <w:p w:rsidR="00E02CE9" w:rsidRDefault="008972AB">
      <w:pPr>
        <w:numPr>
          <w:ilvl w:val="0"/>
          <w:numId w:val="7"/>
        </w:numPr>
        <w:spacing w:before="160" w:after="160" w:line="240" w:lineRule="auto"/>
        <w:rPr>
          <w:sz w:val="24"/>
          <w:szCs w:val="24"/>
        </w:rPr>
      </w:pPr>
      <w:r>
        <w:rPr>
          <w:sz w:val="24"/>
          <w:szCs w:val="24"/>
        </w:rPr>
        <w:t>Programa de Cero Tolerancia a la conducción bajo los efectos del Alcohol y Sustancias Psicoactivas:</w:t>
      </w:r>
    </w:p>
    <w:p w:rsidR="00E02CE9" w:rsidRDefault="008972AB">
      <w:pPr>
        <w:rPr>
          <w:sz w:val="24"/>
          <w:szCs w:val="24"/>
        </w:rPr>
      </w:pPr>
      <w:r>
        <w:rPr>
          <w:sz w:val="24"/>
          <w:szCs w:val="24"/>
        </w:rPr>
        <w:t xml:space="preserve">Con relación al </w:t>
      </w:r>
      <w:r>
        <w:rPr>
          <w:b/>
          <w:sz w:val="24"/>
          <w:szCs w:val="24"/>
        </w:rPr>
        <w:t>programa de prevención de la fatiga</w:t>
      </w:r>
      <w:r>
        <w:rPr>
          <w:sz w:val="24"/>
          <w:szCs w:val="24"/>
        </w:rPr>
        <w:t xml:space="preserve">, el anexo técnico de la resolución 20223040040595 de 2022 del Ministerio de Transporte estableció lo siguiente: </w:t>
      </w:r>
    </w:p>
    <w:p w:rsidR="00E02CE9" w:rsidRDefault="008972AB">
      <w:pPr>
        <w:spacing w:before="160" w:after="160" w:line="240" w:lineRule="auto"/>
        <w:ind w:left="709"/>
        <w:rPr>
          <w:i/>
          <w:sz w:val="24"/>
          <w:szCs w:val="24"/>
        </w:rPr>
      </w:pPr>
      <w:r>
        <w:rPr>
          <w:i/>
          <w:sz w:val="24"/>
          <w:szCs w:val="24"/>
        </w:rPr>
        <w:t xml:space="preserve">“Procedimiento para controlar la jornada de trabajo, horas de conducción y </w:t>
      </w:r>
      <w:r>
        <w:rPr>
          <w:b/>
          <w:i/>
          <w:sz w:val="24"/>
          <w:szCs w:val="24"/>
        </w:rPr>
        <w:t>descanso de los conductores</w:t>
      </w:r>
      <w:r>
        <w:rPr>
          <w:i/>
          <w:sz w:val="24"/>
          <w:szCs w:val="24"/>
        </w:rPr>
        <w:t xml:space="preserve">, debe contener: mecanismo o equipo de medición que se va a utilizar; </w:t>
      </w:r>
      <w:r>
        <w:rPr>
          <w:b/>
          <w:i/>
          <w:sz w:val="24"/>
          <w:szCs w:val="24"/>
        </w:rPr>
        <w:t>revisión y cumplimiento de las políticas laborales en cuanto a los tiempos de conducción y jornada de trabajo</w:t>
      </w:r>
      <w:r>
        <w:rPr>
          <w:i/>
          <w:sz w:val="24"/>
          <w:szCs w:val="24"/>
        </w:rPr>
        <w:t xml:space="preserve">; </w:t>
      </w:r>
      <w:r>
        <w:rPr>
          <w:b/>
          <w:i/>
          <w:sz w:val="24"/>
          <w:szCs w:val="24"/>
        </w:rPr>
        <w:t>planificación de los viajes para evitar excesos en las jornadas de trabajo</w:t>
      </w:r>
      <w:r>
        <w:rPr>
          <w:i/>
          <w:sz w:val="24"/>
          <w:szCs w:val="24"/>
        </w:rPr>
        <w:t xml:space="preserve">; responsable(s) del programa; frecuencia de evaluación de los resultados; </w:t>
      </w:r>
      <w:r>
        <w:rPr>
          <w:b/>
          <w:i/>
          <w:sz w:val="24"/>
          <w:szCs w:val="24"/>
        </w:rPr>
        <w:t>procedimiento en caso de encontrar excesos en las jornadas de trabajo u horas de conducción</w:t>
      </w:r>
      <w:r>
        <w:rPr>
          <w:i/>
          <w:sz w:val="24"/>
          <w:szCs w:val="24"/>
        </w:rPr>
        <w:t xml:space="preserve"> y casos reiterativos por parte de planificadores de ruta y conductores”.</w:t>
      </w:r>
    </w:p>
    <w:p w:rsidR="00E02CE9" w:rsidRDefault="008972AB">
      <w:pPr>
        <w:spacing w:before="160" w:after="160" w:line="240" w:lineRule="auto"/>
        <w:ind w:left="709"/>
        <w:rPr>
          <w:sz w:val="24"/>
          <w:szCs w:val="24"/>
        </w:rPr>
      </w:pPr>
      <w:r>
        <w:rPr>
          <w:b/>
          <w:i/>
          <w:sz w:val="24"/>
          <w:szCs w:val="24"/>
        </w:rPr>
        <w:t xml:space="preserve">Los factores de desempeño de la prevención de la fatiga, </w:t>
      </w:r>
      <w:r>
        <w:rPr>
          <w:i/>
          <w:sz w:val="24"/>
          <w:szCs w:val="24"/>
        </w:rPr>
        <w:t xml:space="preserve">entre otros pueden ser: </w:t>
      </w:r>
      <w:r>
        <w:rPr>
          <w:b/>
          <w:i/>
          <w:sz w:val="24"/>
          <w:szCs w:val="24"/>
        </w:rPr>
        <w:t>promover el cumplimiento de la jornada laboral del personal que conduce un vehículo</w:t>
      </w:r>
      <w:r>
        <w:rPr>
          <w:i/>
          <w:sz w:val="24"/>
          <w:szCs w:val="24"/>
        </w:rPr>
        <w:t xml:space="preserve"> para los desplazamientos laborales; </w:t>
      </w:r>
      <w:r>
        <w:rPr>
          <w:b/>
          <w:i/>
          <w:sz w:val="24"/>
          <w:szCs w:val="24"/>
        </w:rPr>
        <w:t>sustituir incentivos de pago asociados al exceso de kilómetros recorridos diariamente; controlar la jornada de descanso entre turnos; controlar los sitios y horarios de descanso durante la jornada laboral”</w:t>
      </w:r>
      <w:r>
        <w:rPr>
          <w:i/>
          <w:sz w:val="24"/>
          <w:szCs w:val="24"/>
        </w:rPr>
        <w:t xml:space="preserve">. (Negrilla fuera del texto). </w:t>
      </w:r>
    </w:p>
    <w:p w:rsidR="00E02CE9" w:rsidRDefault="008972AB">
      <w:pPr>
        <w:rPr>
          <w:sz w:val="24"/>
          <w:szCs w:val="24"/>
        </w:rPr>
      </w:pPr>
      <w:r>
        <w:rPr>
          <w:sz w:val="24"/>
          <w:szCs w:val="24"/>
        </w:rPr>
        <w:t xml:space="preserve">Respecto de la verificación de la implementación y el cumplimiento de los Planes Estratégicos de Seguridad Vial, el artículo </w:t>
      </w:r>
      <w:hyperlink r:id="rId11" w:anchor="1">
        <w:r>
          <w:rPr>
            <w:sz w:val="24"/>
            <w:szCs w:val="24"/>
          </w:rPr>
          <w:t>1</w:t>
        </w:r>
      </w:hyperlink>
      <w:r>
        <w:rPr>
          <w:sz w:val="24"/>
          <w:szCs w:val="24"/>
        </w:rPr>
        <w:t xml:space="preserve">° de la Ley 2050 de 2020 señaló:  </w:t>
      </w:r>
    </w:p>
    <w:p w:rsidR="00E02CE9" w:rsidRDefault="008972AB">
      <w:pPr>
        <w:ind w:left="709"/>
        <w:rPr>
          <w:sz w:val="24"/>
          <w:szCs w:val="24"/>
        </w:rPr>
      </w:pPr>
      <w:r>
        <w:rPr>
          <w:i/>
          <w:sz w:val="24"/>
          <w:szCs w:val="24"/>
        </w:rPr>
        <w:t xml:space="preserve">“La verificación de la implementación del Plan Estratégico de Seguridad Vial corresponderá a la Superintendencia de Transporte, </w:t>
      </w:r>
      <w:r>
        <w:rPr>
          <w:b/>
          <w:i/>
          <w:sz w:val="24"/>
          <w:szCs w:val="24"/>
        </w:rPr>
        <w:t>los organismos de Tránsito</w:t>
      </w:r>
      <w:r>
        <w:rPr>
          <w:i/>
          <w:sz w:val="24"/>
          <w:szCs w:val="24"/>
        </w:rPr>
        <w:t xml:space="preserve"> o el Ministerio de Trabajo, quienes podrán, cada una en el marco de sus competencias, </w:t>
      </w:r>
      <w:r>
        <w:rPr>
          <w:b/>
          <w:i/>
          <w:sz w:val="24"/>
          <w:szCs w:val="24"/>
        </w:rPr>
        <w:t>supervisar la implementación de los Planes Estratégicos de Seguridad Vial (PESV)</w:t>
      </w:r>
      <w:r>
        <w:rPr>
          <w:i/>
          <w:sz w:val="24"/>
          <w:szCs w:val="24"/>
        </w:rPr>
        <w:t xml:space="preserve">. Las condiciones para efectuar la verificación serán establecidas en la Metodología que expida el Ministerio de Transporte en cumplimiento de lo establecido en el artículo </w:t>
      </w:r>
      <w:hyperlink r:id="rId12" w:anchor="110">
        <w:r>
          <w:rPr>
            <w:i/>
            <w:sz w:val="24"/>
            <w:szCs w:val="24"/>
          </w:rPr>
          <w:t>110</w:t>
        </w:r>
      </w:hyperlink>
      <w:r>
        <w:rPr>
          <w:i/>
          <w:sz w:val="24"/>
          <w:szCs w:val="24"/>
        </w:rPr>
        <w:t xml:space="preserve"> del Decreto ley 2106 de 2019 o la norma que la modifique, sustituya o derogue”;</w:t>
      </w:r>
    </w:p>
    <w:p w:rsidR="00E02CE9" w:rsidRDefault="008972AB">
      <w:pPr>
        <w:spacing w:before="160" w:after="160" w:line="240" w:lineRule="auto"/>
        <w:rPr>
          <w:sz w:val="24"/>
          <w:szCs w:val="24"/>
        </w:rPr>
      </w:pPr>
      <w:r>
        <w:rPr>
          <w:sz w:val="24"/>
          <w:szCs w:val="24"/>
        </w:rPr>
        <w:t xml:space="preserve">Por otra parte el artículo </w:t>
      </w:r>
      <w:hyperlink r:id="rId13" w:anchor="2.3.2.3.2">
        <w:r>
          <w:rPr>
            <w:sz w:val="24"/>
            <w:szCs w:val="24"/>
          </w:rPr>
          <w:t>2.3.2.3.2</w:t>
        </w:r>
      </w:hyperlink>
      <w:r>
        <w:rPr>
          <w:sz w:val="24"/>
          <w:szCs w:val="24"/>
        </w:rPr>
        <w:t xml:space="preserve">. del Decreto 1079 de 2015, modificado por el Decreto 1252 de 2021, con relación a la competencia de las entidades para la verificación de los PESV definió: </w:t>
      </w:r>
    </w:p>
    <w:p w:rsidR="00E02CE9" w:rsidRDefault="008972AB">
      <w:pPr>
        <w:spacing w:before="160" w:after="160" w:line="240" w:lineRule="auto"/>
        <w:ind w:left="709"/>
        <w:rPr>
          <w:sz w:val="24"/>
          <w:szCs w:val="24"/>
        </w:rPr>
      </w:pPr>
      <w:r>
        <w:rPr>
          <w:sz w:val="24"/>
          <w:szCs w:val="24"/>
        </w:rPr>
        <w:t xml:space="preserve">(...) </w:t>
      </w:r>
    </w:p>
    <w:p w:rsidR="00E02CE9" w:rsidRDefault="008972AB">
      <w:pPr>
        <w:spacing w:before="160" w:after="160" w:line="240" w:lineRule="auto"/>
        <w:ind w:left="709"/>
        <w:rPr>
          <w:sz w:val="24"/>
          <w:szCs w:val="24"/>
        </w:rPr>
      </w:pPr>
      <w:r>
        <w:rPr>
          <w:sz w:val="24"/>
          <w:szCs w:val="24"/>
        </w:rPr>
        <w:t>Para el caso del Sector Transporte, la verificación se realizará por las siguientes autoridades en el marco de sus competencias, de la siguiente manera:</w:t>
      </w:r>
    </w:p>
    <w:p w:rsidR="00E02CE9" w:rsidRDefault="008972AB">
      <w:pPr>
        <w:spacing w:before="160" w:after="160" w:line="240" w:lineRule="auto"/>
        <w:ind w:left="709"/>
        <w:rPr>
          <w:sz w:val="24"/>
          <w:szCs w:val="24"/>
        </w:rPr>
      </w:pPr>
      <w:r>
        <w:rPr>
          <w:b/>
          <w:sz w:val="24"/>
          <w:szCs w:val="24"/>
        </w:rPr>
        <w:t xml:space="preserve">a. </w:t>
      </w:r>
      <w:r>
        <w:rPr>
          <w:sz w:val="24"/>
          <w:szCs w:val="24"/>
        </w:rPr>
        <w:t>Por la Superintendencia de Transporte a las empresas que presten servicio público de transporte terrestre de pasajeros, carga y mixto, en las modalidades de radio de acción nacional.</w:t>
      </w:r>
    </w:p>
    <w:p w:rsidR="00E02CE9" w:rsidRDefault="008972AB">
      <w:pPr>
        <w:spacing w:before="160" w:after="160" w:line="240" w:lineRule="auto"/>
        <w:ind w:left="709"/>
        <w:rPr>
          <w:b/>
          <w:sz w:val="24"/>
          <w:szCs w:val="24"/>
          <w:u w:val="single"/>
        </w:rPr>
      </w:pPr>
      <w:r>
        <w:rPr>
          <w:b/>
          <w:sz w:val="24"/>
          <w:szCs w:val="24"/>
          <w:u w:val="single"/>
        </w:rPr>
        <w:t>b. Por los Organismos de Tránsito en su jurisdicción, a las empresas que prestan el servicio público de transporte terrestre de pasajeros y mixto en el radio de acción municipal, distrital, o metropolitano".</w:t>
      </w:r>
    </w:p>
    <w:p w:rsidR="00E02CE9" w:rsidRDefault="00E02CE9">
      <w:pPr>
        <w:spacing w:before="160" w:after="160" w:line="240" w:lineRule="auto"/>
        <w:rPr>
          <w:sz w:val="24"/>
          <w:szCs w:val="24"/>
        </w:rPr>
      </w:pPr>
    </w:p>
    <w:p w:rsidR="00E02CE9" w:rsidRDefault="008972AB">
      <w:pPr>
        <w:spacing w:after="240"/>
        <w:rPr>
          <w:sz w:val="24"/>
          <w:szCs w:val="24"/>
        </w:rPr>
      </w:pPr>
      <w:r>
        <w:rPr>
          <w:sz w:val="24"/>
          <w:szCs w:val="24"/>
        </w:rPr>
        <w:t>El artículo 2.3.2.3.2 del Decreto número 1079 de 2015, Único Reglamentario del Sector Transporte, establece que las entidades, organizaciones o empresas del sector público o privado de las que trata el artículo 12 de la Ley 1503 de 2011, deben diseñar e implementar los PESV de acuerdo con su misionalidad y tamaño, así mismo deben articularlo con su Sistema de Gestión de Seguridad y Salud en el Trabajo (SGSST), según lo establecido en la metodología de Diseño, Implementación y Verificación del Plan Estratégico de Seguridad Vial, adoptada el Ministerio de Transporte, la cual se encuentra en la Resolución.</w:t>
      </w:r>
    </w:p>
    <w:p w:rsidR="00E02CE9" w:rsidRDefault="008972AB">
      <w:pPr>
        <w:rPr>
          <w:b/>
          <w:sz w:val="24"/>
          <w:szCs w:val="24"/>
        </w:rPr>
      </w:pPr>
      <w:r>
        <w:rPr>
          <w:b/>
          <w:sz w:val="24"/>
          <w:szCs w:val="24"/>
        </w:rPr>
        <w:t>Sistema de Gestión de la Seguridad y Salud en el Trabajo (SG- SST) y prevención de los accidentes de tránsito</w:t>
      </w:r>
    </w:p>
    <w:p w:rsidR="00E02CE9" w:rsidRDefault="008972AB">
      <w:pPr>
        <w:spacing w:before="160" w:after="160" w:line="240" w:lineRule="auto"/>
        <w:rPr>
          <w:sz w:val="24"/>
          <w:szCs w:val="24"/>
        </w:rPr>
      </w:pPr>
      <w:r>
        <w:rPr>
          <w:sz w:val="24"/>
          <w:szCs w:val="24"/>
        </w:rPr>
        <w:t xml:space="preserve">El Artículo </w:t>
      </w:r>
      <w:hyperlink r:id="rId14" w:anchor="2.2.4.6.4">
        <w:r>
          <w:rPr>
            <w:sz w:val="24"/>
            <w:szCs w:val="24"/>
          </w:rPr>
          <w:t>2.2.4.6.4</w:t>
        </w:r>
      </w:hyperlink>
      <w:r>
        <w:rPr>
          <w:sz w:val="24"/>
          <w:szCs w:val="24"/>
        </w:rPr>
        <w:t xml:space="preserve"> del Decreto 1072 de 2015 "Por medio del cual se expide el Decreto Único Reglamentario del Sector Trabajo", en lo relacionado con el sistema de Gestión de la Seguridad y Salud en el Trabajo estableció lo siguiente: </w:t>
      </w:r>
    </w:p>
    <w:p w:rsidR="00E02CE9" w:rsidRDefault="00E02CE9">
      <w:pPr>
        <w:spacing w:before="160" w:after="160" w:line="240" w:lineRule="auto"/>
        <w:ind w:left="709"/>
        <w:rPr>
          <w:sz w:val="24"/>
          <w:szCs w:val="24"/>
        </w:rPr>
      </w:pPr>
    </w:p>
    <w:p w:rsidR="00E02CE9" w:rsidRDefault="008972AB">
      <w:pPr>
        <w:spacing w:before="160" w:after="160" w:line="240" w:lineRule="auto"/>
        <w:ind w:left="709"/>
        <w:rPr>
          <w:i/>
          <w:sz w:val="24"/>
          <w:szCs w:val="24"/>
        </w:rPr>
      </w:pPr>
      <w:r>
        <w:rPr>
          <w:i/>
          <w:sz w:val="24"/>
          <w:szCs w:val="24"/>
        </w:rPr>
        <w:t xml:space="preserve">"Artículo </w:t>
      </w:r>
      <w:hyperlink r:id="rId15" w:anchor="2.2.4.6.4">
        <w:r>
          <w:rPr>
            <w:i/>
            <w:sz w:val="24"/>
            <w:szCs w:val="24"/>
          </w:rPr>
          <w:t>2.2.4.6.4</w:t>
        </w:r>
      </w:hyperlink>
      <w:r>
        <w:rPr>
          <w:i/>
          <w:sz w:val="24"/>
          <w:szCs w:val="24"/>
        </w:rPr>
        <w:t xml:space="preserve">. </w:t>
      </w:r>
      <w:r>
        <w:rPr>
          <w:b/>
          <w:i/>
          <w:sz w:val="24"/>
          <w:szCs w:val="24"/>
        </w:rPr>
        <w:t>Sistema de Gestión de la Seguridad y Salud en el Trabajo (SG- SST)</w:t>
      </w:r>
      <w:r>
        <w:rPr>
          <w:i/>
          <w:sz w:val="24"/>
          <w:szCs w:val="24"/>
        </w:rPr>
        <w:t xml:space="preserve">. El Sistema de Gestión de la Seguridad y Salud en el Trabajo (SG-SST) consiste en el desarrollo de un proceso lógico y por etapas, basado en la mejora continua y que incluye la política, la organización, la planificación, la aplicación, la evaluación, la auditoría y las acciones de mejora con el objetivo de anticipar, reconocer, evaluar y controlar </w:t>
      </w:r>
      <w:r>
        <w:rPr>
          <w:b/>
          <w:i/>
          <w:sz w:val="24"/>
          <w:szCs w:val="24"/>
        </w:rPr>
        <w:t>los riesgos que puedan afectar la seguridad y la salud en el trabajo</w:t>
      </w:r>
      <w:r>
        <w:rPr>
          <w:i/>
          <w:sz w:val="24"/>
          <w:szCs w:val="24"/>
        </w:rPr>
        <w:t>.</w:t>
      </w:r>
    </w:p>
    <w:p w:rsidR="00E02CE9" w:rsidRDefault="008972AB">
      <w:pPr>
        <w:spacing w:before="160" w:after="160" w:line="240" w:lineRule="auto"/>
        <w:ind w:left="709"/>
        <w:rPr>
          <w:b/>
          <w:sz w:val="24"/>
          <w:szCs w:val="24"/>
        </w:rPr>
      </w:pPr>
      <w:r>
        <w:rPr>
          <w:b/>
          <w:i/>
          <w:sz w:val="24"/>
          <w:szCs w:val="24"/>
        </w:rPr>
        <w:t>El SG-SST debe ser liderado e implementado por el empleador o contratante</w:t>
      </w:r>
      <w:r>
        <w:rPr>
          <w:i/>
          <w:sz w:val="24"/>
          <w:szCs w:val="24"/>
        </w:rPr>
        <w:t xml:space="preserve">, </w:t>
      </w:r>
      <w:r>
        <w:rPr>
          <w:b/>
          <w:i/>
          <w:sz w:val="24"/>
          <w:szCs w:val="24"/>
        </w:rPr>
        <w:t>con la participación de los trabajadores y/o contratistas</w:t>
      </w:r>
      <w:r>
        <w:rPr>
          <w:i/>
          <w:sz w:val="24"/>
          <w:szCs w:val="24"/>
        </w:rPr>
        <w:t xml:space="preserve">, garantizando a través de dicho sistema, la aplicación de las medidas de Seguridad y Salud en el Trabajo, </w:t>
      </w:r>
      <w:r>
        <w:rPr>
          <w:b/>
          <w:i/>
          <w:sz w:val="24"/>
          <w:szCs w:val="24"/>
        </w:rPr>
        <w:t>el mejoramiento del comportamiento de los trabajadores</w:t>
      </w:r>
      <w:r>
        <w:rPr>
          <w:i/>
          <w:sz w:val="24"/>
          <w:szCs w:val="24"/>
        </w:rPr>
        <w:t xml:space="preserve">, las condiciones y el medio ambiente laboral, y </w:t>
      </w:r>
      <w:r>
        <w:rPr>
          <w:b/>
          <w:i/>
          <w:sz w:val="24"/>
          <w:szCs w:val="24"/>
        </w:rPr>
        <w:t>el control eficaz de los peligros y riesgos en el lugar de trabajo</w:t>
      </w:r>
      <w:r>
        <w:rPr>
          <w:i/>
          <w:sz w:val="24"/>
          <w:szCs w:val="24"/>
        </w:rPr>
        <w:t xml:space="preserve">. </w:t>
      </w:r>
      <w:r>
        <w:rPr>
          <w:i/>
          <w:sz w:val="24"/>
          <w:szCs w:val="24"/>
          <w:u w:val="single"/>
        </w:rPr>
        <w:t>Para el efecto, el empleador o contratante debe abordar la prevención de los accidentes</w:t>
      </w:r>
      <w:r>
        <w:rPr>
          <w:i/>
          <w:sz w:val="24"/>
          <w:szCs w:val="24"/>
        </w:rPr>
        <w:t xml:space="preserve"> y las enfermedades laborales y también la protección y promoción de la salud de los trabajadores y/o contratistas, a través de la implementación, mantenimiento y mejora continua de un sistema de gestión cuyos principios estén basados en el ciclo PHVA (Planificar. Hacer. Verificar y Actuar). (Negrilla y subrayado fuera del texto)</w:t>
      </w:r>
    </w:p>
    <w:p w:rsidR="00E02CE9" w:rsidRDefault="008972AB">
      <w:pPr>
        <w:rPr>
          <w:b/>
          <w:sz w:val="24"/>
          <w:szCs w:val="24"/>
          <w:u w:val="single"/>
        </w:rPr>
      </w:pPr>
      <w:r>
        <w:rPr>
          <w:b/>
          <w:sz w:val="24"/>
          <w:szCs w:val="24"/>
          <w:u w:val="single"/>
        </w:rPr>
        <w:t>Normas Distritales</w:t>
      </w:r>
    </w:p>
    <w:p w:rsidR="00E02CE9" w:rsidRDefault="008972AB">
      <w:pPr>
        <w:shd w:val="clear" w:color="auto" w:fill="FFFFFF"/>
        <w:spacing w:after="0" w:line="240" w:lineRule="auto"/>
        <w:rPr>
          <w:sz w:val="24"/>
          <w:szCs w:val="24"/>
        </w:rPr>
      </w:pPr>
      <w:r>
        <w:rPr>
          <w:sz w:val="24"/>
          <w:szCs w:val="24"/>
        </w:rPr>
        <w:t>El Concejo de Bogotá mediante el Acuerdo 257 de 2006</w:t>
      </w:r>
      <w:r>
        <w:rPr>
          <w:b/>
          <w:i/>
          <w:sz w:val="24"/>
          <w:szCs w:val="24"/>
          <w:highlight w:val="white"/>
        </w:rPr>
        <w:t xml:space="preserve">, </w:t>
      </w:r>
      <w:r>
        <w:rPr>
          <w:sz w:val="24"/>
          <w:szCs w:val="24"/>
          <w:highlight w:val="white"/>
        </w:rPr>
        <w:t xml:space="preserve">efectuó la creación de la Secretaría Distrital de Movilidad, antes Secretaría de Tránsito y Transporte (art. 105). </w:t>
      </w:r>
    </w:p>
    <w:p w:rsidR="00E02CE9" w:rsidRDefault="00E02CE9">
      <w:pPr>
        <w:shd w:val="clear" w:color="auto" w:fill="FFFFFF"/>
        <w:spacing w:after="0" w:line="240" w:lineRule="auto"/>
        <w:rPr>
          <w:sz w:val="24"/>
          <w:szCs w:val="24"/>
        </w:rPr>
      </w:pPr>
    </w:p>
    <w:p w:rsidR="00E02CE9" w:rsidRDefault="008972AB">
      <w:pPr>
        <w:shd w:val="clear" w:color="auto" w:fill="FFFFFF"/>
        <w:spacing w:after="0" w:line="240" w:lineRule="auto"/>
        <w:rPr>
          <w:sz w:val="24"/>
          <w:szCs w:val="24"/>
        </w:rPr>
      </w:pPr>
      <w:r>
        <w:rPr>
          <w:sz w:val="24"/>
          <w:szCs w:val="24"/>
        </w:rPr>
        <w:t>Como misión del sector movilidad se estableció: “</w:t>
      </w:r>
      <w:r>
        <w:rPr>
          <w:sz w:val="24"/>
          <w:szCs w:val="24"/>
          <w:highlight w:val="white"/>
        </w:rPr>
        <w:t>El Sector Movilidad tiene la misión de garantizar la planeación, gestión, ordenamiento, desarrollo armónico y sostenible de la ciudad en los aspectos de tránsito, transporte, seguridad e infraestructura vial y de transporte” (art. 104).</w:t>
      </w:r>
    </w:p>
    <w:p w:rsidR="00E02CE9" w:rsidRDefault="00E02CE9">
      <w:pPr>
        <w:shd w:val="clear" w:color="auto" w:fill="FFFFFF"/>
        <w:spacing w:after="0" w:line="240" w:lineRule="auto"/>
        <w:rPr>
          <w:sz w:val="24"/>
          <w:szCs w:val="24"/>
        </w:rPr>
      </w:pPr>
    </w:p>
    <w:p w:rsidR="00E02CE9" w:rsidRDefault="008972AB">
      <w:pPr>
        <w:shd w:val="clear" w:color="auto" w:fill="FFFFFF"/>
        <w:spacing w:after="0" w:line="240" w:lineRule="auto"/>
        <w:rPr>
          <w:sz w:val="24"/>
          <w:szCs w:val="24"/>
        </w:rPr>
      </w:pPr>
      <w:r>
        <w:rPr>
          <w:sz w:val="24"/>
          <w:szCs w:val="24"/>
        </w:rPr>
        <w:t xml:space="preserve">Entre las entidades vinculadas al sector se encuentra como </w:t>
      </w:r>
      <w:r>
        <w:rPr>
          <w:sz w:val="24"/>
          <w:szCs w:val="24"/>
          <w:highlight w:val="white"/>
        </w:rPr>
        <w:t>Sociedad de Economía Mixta: la Terminal de Transporte S.A. (literal b, artículo 107)</w:t>
      </w:r>
    </w:p>
    <w:p w:rsidR="00E02CE9" w:rsidRDefault="00E02CE9">
      <w:pPr>
        <w:shd w:val="clear" w:color="auto" w:fill="FFFFFF"/>
        <w:spacing w:after="0" w:line="240" w:lineRule="auto"/>
        <w:rPr>
          <w:sz w:val="24"/>
          <w:szCs w:val="24"/>
        </w:rPr>
      </w:pPr>
    </w:p>
    <w:p w:rsidR="00E02CE9" w:rsidRDefault="008972AB">
      <w:pPr>
        <w:shd w:val="clear" w:color="auto" w:fill="FFFFFF"/>
        <w:spacing w:after="0" w:line="240" w:lineRule="auto"/>
        <w:rPr>
          <w:sz w:val="24"/>
          <w:szCs w:val="24"/>
          <w:highlight w:val="white"/>
        </w:rPr>
      </w:pPr>
      <w:r>
        <w:rPr>
          <w:sz w:val="24"/>
          <w:szCs w:val="24"/>
          <w:highlight w:val="white"/>
        </w:rPr>
        <w:t>Dentro de las funciones de la Secretaría se encuentran las siguientes: </w:t>
      </w:r>
    </w:p>
    <w:p w:rsidR="00E02CE9" w:rsidRDefault="00E02CE9">
      <w:pPr>
        <w:shd w:val="clear" w:color="auto" w:fill="FFFFFF"/>
        <w:spacing w:after="0" w:line="240" w:lineRule="auto"/>
        <w:rPr>
          <w:sz w:val="24"/>
          <w:szCs w:val="24"/>
        </w:rPr>
      </w:pPr>
    </w:p>
    <w:p w:rsidR="00E02CE9" w:rsidRDefault="008972AB">
      <w:pPr>
        <w:shd w:val="clear" w:color="auto" w:fill="FFFFFF"/>
        <w:spacing w:after="0" w:line="240" w:lineRule="auto"/>
        <w:ind w:left="720"/>
        <w:rPr>
          <w:b/>
          <w:i/>
          <w:sz w:val="24"/>
          <w:szCs w:val="24"/>
          <w:u w:val="single"/>
        </w:rPr>
      </w:pPr>
      <w:r>
        <w:rPr>
          <w:i/>
          <w:sz w:val="24"/>
          <w:szCs w:val="24"/>
          <w:highlight w:val="white"/>
        </w:rPr>
        <w:t xml:space="preserve">“a. Formular y orientar las políticas sobre la regulación y control del tránsito, el transporte público urbano en todas sus modalidades, la intermodalidad y el </w:t>
      </w:r>
      <w:r>
        <w:rPr>
          <w:b/>
          <w:i/>
          <w:sz w:val="24"/>
          <w:szCs w:val="24"/>
          <w:highlight w:val="white"/>
          <w:u w:val="single"/>
        </w:rPr>
        <w:t>mejoramiento de las condiciones de movilidad y el desarrollo de infraestructura vial y de transporte.</w:t>
      </w:r>
    </w:p>
    <w:p w:rsidR="00E02CE9" w:rsidRDefault="008972AB">
      <w:pPr>
        <w:shd w:val="clear" w:color="auto" w:fill="FFFFFF"/>
        <w:spacing w:after="0" w:line="240" w:lineRule="auto"/>
        <w:ind w:left="720"/>
        <w:rPr>
          <w:i/>
          <w:sz w:val="24"/>
          <w:szCs w:val="24"/>
        </w:rPr>
      </w:pPr>
      <w:r>
        <w:rPr>
          <w:i/>
          <w:sz w:val="24"/>
          <w:szCs w:val="24"/>
          <w:highlight w:val="white"/>
        </w:rPr>
        <w:t>b. Fungir como autoridad de tránsito y transporte.</w:t>
      </w:r>
    </w:p>
    <w:p w:rsidR="00E02CE9" w:rsidRDefault="008972AB">
      <w:pPr>
        <w:shd w:val="clear" w:color="auto" w:fill="FFFFFF"/>
        <w:spacing w:after="0" w:line="240" w:lineRule="auto"/>
        <w:ind w:left="720"/>
        <w:rPr>
          <w:i/>
          <w:sz w:val="24"/>
          <w:szCs w:val="24"/>
        </w:rPr>
      </w:pPr>
      <w:r>
        <w:rPr>
          <w:i/>
          <w:sz w:val="24"/>
          <w:szCs w:val="24"/>
          <w:highlight w:val="white"/>
        </w:rPr>
        <w:t xml:space="preserve">g. Orientar, establecer y planear el servicio de Transporte Público Urbano, en todas sus modalidades, en el Distrito y </w:t>
      </w:r>
      <w:r>
        <w:rPr>
          <w:i/>
          <w:sz w:val="24"/>
          <w:szCs w:val="24"/>
          <w:highlight w:val="white"/>
          <w:u w:val="single"/>
        </w:rPr>
        <w:t>su área de influencia</w:t>
      </w:r>
      <w:r>
        <w:rPr>
          <w:i/>
          <w:sz w:val="24"/>
          <w:szCs w:val="24"/>
          <w:highlight w:val="white"/>
        </w:rPr>
        <w:t>.</w:t>
      </w:r>
    </w:p>
    <w:p w:rsidR="00E02CE9" w:rsidRDefault="008972AB">
      <w:pPr>
        <w:shd w:val="clear" w:color="auto" w:fill="FFFFFF"/>
        <w:spacing w:after="0" w:line="240" w:lineRule="auto"/>
        <w:ind w:left="720"/>
        <w:rPr>
          <w:i/>
          <w:sz w:val="24"/>
          <w:szCs w:val="24"/>
        </w:rPr>
      </w:pPr>
      <w:r>
        <w:rPr>
          <w:i/>
          <w:sz w:val="24"/>
          <w:szCs w:val="24"/>
          <w:highlight w:val="white"/>
        </w:rPr>
        <w:t>h</w:t>
      </w:r>
      <w:r>
        <w:rPr>
          <w:b/>
          <w:i/>
          <w:sz w:val="24"/>
          <w:szCs w:val="24"/>
          <w:highlight w:val="white"/>
        </w:rPr>
        <w:t>. Participar en el diseño de la política y de los mecanismos de la construcción y explotación económica de las terminales de transporte de pasajeros, de carga y de transferencia.</w:t>
      </w:r>
    </w:p>
    <w:p w:rsidR="00E02CE9" w:rsidRDefault="008972AB">
      <w:pPr>
        <w:shd w:val="clear" w:color="auto" w:fill="FFFFFF"/>
        <w:spacing w:after="0" w:line="240" w:lineRule="auto"/>
        <w:ind w:left="720"/>
        <w:rPr>
          <w:i/>
          <w:sz w:val="24"/>
          <w:szCs w:val="24"/>
          <w:u w:val="single"/>
        </w:rPr>
      </w:pPr>
      <w:r>
        <w:rPr>
          <w:b/>
          <w:i/>
          <w:sz w:val="24"/>
          <w:szCs w:val="24"/>
          <w:highlight w:val="white"/>
          <w:u w:val="single"/>
        </w:rPr>
        <w:t>l. Controlar, de conformidad con la normativa aplicable, el transporte intermunicipal en la jurisdicción del Distrito Capital.</w:t>
      </w:r>
    </w:p>
    <w:p w:rsidR="00E02CE9" w:rsidRDefault="008972AB">
      <w:pPr>
        <w:shd w:val="clear" w:color="auto" w:fill="FFFFFF"/>
        <w:spacing w:after="0" w:line="240" w:lineRule="auto"/>
        <w:ind w:left="720"/>
        <w:rPr>
          <w:sz w:val="24"/>
          <w:szCs w:val="24"/>
        </w:rPr>
      </w:pPr>
      <w:r>
        <w:rPr>
          <w:i/>
          <w:sz w:val="24"/>
          <w:szCs w:val="24"/>
          <w:highlight w:val="white"/>
        </w:rPr>
        <w:t>m. Administrar los Sistemas de información del sector”</w:t>
      </w:r>
      <w:r>
        <w:rPr>
          <w:sz w:val="24"/>
          <w:szCs w:val="24"/>
        </w:rPr>
        <w:t xml:space="preserve"> </w:t>
      </w:r>
    </w:p>
    <w:p w:rsidR="00E02CE9" w:rsidRDefault="008972AB">
      <w:pPr>
        <w:shd w:val="clear" w:color="auto" w:fill="FFFFFF"/>
        <w:spacing w:after="0" w:line="240" w:lineRule="auto"/>
        <w:ind w:left="720"/>
        <w:rPr>
          <w:sz w:val="24"/>
          <w:szCs w:val="24"/>
        </w:rPr>
      </w:pPr>
      <w:r>
        <w:rPr>
          <w:sz w:val="24"/>
          <w:szCs w:val="24"/>
        </w:rPr>
        <w:t xml:space="preserve">(Negrilla fuera del texto). </w:t>
      </w:r>
    </w:p>
    <w:p w:rsidR="00E02CE9" w:rsidRDefault="00E02CE9">
      <w:pPr>
        <w:shd w:val="clear" w:color="auto" w:fill="FFFFFF"/>
        <w:spacing w:after="0" w:line="240" w:lineRule="auto"/>
        <w:rPr>
          <w:sz w:val="24"/>
          <w:szCs w:val="24"/>
        </w:rPr>
      </w:pPr>
    </w:p>
    <w:p w:rsidR="00E02CE9" w:rsidRDefault="008972AB">
      <w:pPr>
        <w:shd w:val="clear" w:color="auto" w:fill="FFFFFF"/>
        <w:spacing w:after="0" w:line="240" w:lineRule="auto"/>
        <w:rPr>
          <w:sz w:val="24"/>
          <w:szCs w:val="24"/>
        </w:rPr>
      </w:pPr>
      <w:r>
        <w:rPr>
          <w:b/>
          <w:sz w:val="24"/>
          <w:szCs w:val="24"/>
        </w:rPr>
        <w:t> </w:t>
      </w:r>
      <w:r>
        <w:rPr>
          <w:sz w:val="24"/>
          <w:szCs w:val="24"/>
        </w:rPr>
        <w:t>Por su parte mediante el Decreto Distrital 672 de 2018, se modificó la estructura organizacional de la Secretaría Distrital de Movilidad. La función de control del transporte intermunicipal en el Distrital antes mencionada y definida en el Acuerdo 257, fue recogida en este Decreto en cabeza del despacho de la Secretaría Distrital de Movilidad, así: </w:t>
      </w:r>
    </w:p>
    <w:p w:rsidR="00E02CE9" w:rsidRDefault="00E02CE9">
      <w:pPr>
        <w:spacing w:after="0" w:line="240" w:lineRule="auto"/>
        <w:rPr>
          <w:sz w:val="24"/>
          <w:szCs w:val="24"/>
          <w:highlight w:val="white"/>
        </w:rPr>
      </w:pPr>
    </w:p>
    <w:p w:rsidR="00E02CE9" w:rsidRDefault="008972AB">
      <w:pPr>
        <w:spacing w:after="0" w:line="240" w:lineRule="auto"/>
        <w:ind w:left="705"/>
        <w:rPr>
          <w:i/>
          <w:sz w:val="24"/>
          <w:szCs w:val="24"/>
          <w:highlight w:val="white"/>
        </w:rPr>
      </w:pPr>
      <w:r>
        <w:rPr>
          <w:i/>
          <w:sz w:val="24"/>
          <w:szCs w:val="24"/>
          <w:highlight w:val="white"/>
        </w:rPr>
        <w:t>“Artículo 4. Despacho de la Secretaría Distrital de Movilidad. Son funciones del Despacho de la Secretaría Distrital de Movilidad las siguientes:</w:t>
      </w:r>
    </w:p>
    <w:p w:rsidR="00E02CE9" w:rsidRDefault="00E02CE9">
      <w:pPr>
        <w:spacing w:after="0" w:line="240" w:lineRule="auto"/>
        <w:ind w:left="709"/>
        <w:rPr>
          <w:i/>
          <w:sz w:val="24"/>
          <w:szCs w:val="24"/>
          <w:highlight w:val="white"/>
        </w:rPr>
      </w:pPr>
    </w:p>
    <w:p w:rsidR="00E02CE9" w:rsidRDefault="008972AB">
      <w:pPr>
        <w:spacing w:after="0" w:line="240" w:lineRule="auto"/>
        <w:ind w:left="709"/>
        <w:rPr>
          <w:i/>
          <w:sz w:val="24"/>
          <w:szCs w:val="24"/>
        </w:rPr>
      </w:pPr>
      <w:r>
        <w:rPr>
          <w:i/>
          <w:sz w:val="24"/>
          <w:szCs w:val="24"/>
          <w:highlight w:val="white"/>
        </w:rPr>
        <w:t>13. Orientar las acciones de control del transporte intermunicipal en la jurisdicción del Distrito Capital, de conformidad con las normativas, políticas y referentes aplicables” (art. 4).</w:t>
      </w:r>
    </w:p>
    <w:p w:rsidR="00E02CE9" w:rsidRDefault="00E02CE9">
      <w:pPr>
        <w:spacing w:line="312" w:lineRule="auto"/>
        <w:rPr>
          <w:sz w:val="24"/>
          <w:szCs w:val="24"/>
        </w:rPr>
      </w:pPr>
    </w:p>
    <w:p w:rsidR="00E02CE9" w:rsidRDefault="008972AB">
      <w:pPr>
        <w:pStyle w:val="Ttulo1"/>
        <w:numPr>
          <w:ilvl w:val="0"/>
          <w:numId w:val="8"/>
        </w:numPr>
        <w:rPr>
          <w:sz w:val="24"/>
          <w:szCs w:val="24"/>
        </w:rPr>
      </w:pPr>
      <w:r>
        <w:rPr>
          <w:sz w:val="24"/>
          <w:szCs w:val="24"/>
        </w:rPr>
        <w:t>Justificación del Proyecto de Acuerdo</w:t>
      </w:r>
    </w:p>
    <w:p w:rsidR="00E02CE9" w:rsidRDefault="008972AB">
      <w:pPr>
        <w:spacing w:line="312" w:lineRule="auto"/>
        <w:rPr>
          <w:sz w:val="24"/>
          <w:szCs w:val="24"/>
        </w:rPr>
      </w:pPr>
      <w:r>
        <w:rPr>
          <w:sz w:val="24"/>
          <w:szCs w:val="24"/>
        </w:rPr>
        <w:t xml:space="preserve">Una vez expuesta la argumentación jurídica del proyecto, este apartado le corresponde  exponer los fundamentos técnicos que sustentan la pertinencia de crear un protocolo para gestionar la fatiga de los conductores en los terminales de transporte del distrito, con el propósito conocer las condiciones físicas y mentales que aquejan a los conductores que realizan rutas de corta, media y larga distancia a interior del pais. </w:t>
      </w:r>
    </w:p>
    <w:p w:rsidR="00E02CE9" w:rsidRDefault="008972AB">
      <w:pPr>
        <w:spacing w:line="312" w:lineRule="auto"/>
        <w:rPr>
          <w:sz w:val="24"/>
          <w:szCs w:val="24"/>
        </w:rPr>
      </w:pPr>
      <w:r>
        <w:rPr>
          <w:sz w:val="24"/>
          <w:szCs w:val="24"/>
        </w:rPr>
        <w:t xml:space="preserve">De está forma, con el objetivo de realizar una exposición detallada de los argumentos que sustentan la iniciativa, el análisis se estructura de la siguiente manera: En primera instancia se describe el funcionamiento del transporte terrestre intermunicipal en Colombia, en segunda instancia, se señala la importancia de gestionar la fatiga y el cansancio en los conductores de transporte terrestre; en una tercera instancia se presentan las estadísticas sobre los informes de siniestros viales que se generan en carretera; y por último, se mencionan las múltiples desafíos en materia operativa por parte de los sectores competentes.   </w:t>
      </w:r>
    </w:p>
    <w:p w:rsidR="00E02CE9" w:rsidRDefault="008972AB">
      <w:pPr>
        <w:pStyle w:val="Ttulo1"/>
        <w:numPr>
          <w:ilvl w:val="1"/>
          <w:numId w:val="8"/>
        </w:numPr>
        <w:spacing w:line="312" w:lineRule="auto"/>
        <w:ind w:left="1434" w:hanging="357"/>
        <w:rPr>
          <w:sz w:val="24"/>
          <w:szCs w:val="24"/>
        </w:rPr>
      </w:pPr>
      <w:r>
        <w:rPr>
          <w:sz w:val="24"/>
          <w:szCs w:val="24"/>
        </w:rPr>
        <w:t xml:space="preserve">Funcionamiento del transporte terrestre intermunicipal en Colombia. </w:t>
      </w:r>
    </w:p>
    <w:p w:rsidR="00E02CE9" w:rsidRDefault="008972AB">
      <w:pPr>
        <w:pStyle w:val="Ttulo1"/>
        <w:spacing w:line="312" w:lineRule="auto"/>
        <w:ind w:left="0" w:firstLine="720"/>
        <w:rPr>
          <w:sz w:val="24"/>
          <w:szCs w:val="24"/>
        </w:rPr>
      </w:pPr>
      <w:r>
        <w:rPr>
          <w:b w:val="0"/>
          <w:sz w:val="24"/>
          <w:szCs w:val="24"/>
        </w:rPr>
        <w:t xml:space="preserve">Como se señaló con anterioridad en el marco normativo del proyecto, el transporte terrestre intermunicipal es un servicio público regulado por el Ministerio de Transporte,  vigilado y controlado de manera permanente por la Superintendencia de Puertos y Transporte, reglamentado por la Ley 105 de 1993 y Ley 336 de 1996. Es un servicio que funciona a través de intermediación con empresas privadas, en el cual, el Estado concede el permiso para operar las rutas y estas son administradas por empresas de transporte  quienes bajo propiedad o con afiliados están a  cargo de contratar a los conductores para el traslado de los pasajeros que diariamente (...), representado visualmente de la siguiente manera: </w:t>
      </w:r>
    </w:p>
    <w:p w:rsidR="00E02CE9" w:rsidRDefault="00E02CE9">
      <w:pPr>
        <w:jc w:val="center"/>
        <w:rPr>
          <w:sz w:val="24"/>
          <w:szCs w:val="24"/>
        </w:rPr>
      </w:pPr>
    </w:p>
    <w:p w:rsidR="00E02CE9" w:rsidRDefault="008972AB">
      <w:pPr>
        <w:jc w:val="left"/>
        <w:rPr>
          <w:sz w:val="24"/>
          <w:szCs w:val="24"/>
        </w:rPr>
      </w:pPr>
      <w:r>
        <w:rPr>
          <w:noProof/>
          <w:sz w:val="24"/>
          <w:szCs w:val="24"/>
          <w:lang w:val="es-419" w:eastAsia="es-419"/>
        </w:rPr>
        <w:drawing>
          <wp:inline distT="114300" distB="114300" distL="114300" distR="114300">
            <wp:extent cx="5610225" cy="2159711"/>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t="15431" b="16139"/>
                    <a:stretch>
                      <a:fillRect/>
                    </a:stretch>
                  </pic:blipFill>
                  <pic:spPr>
                    <a:xfrm>
                      <a:off x="0" y="0"/>
                      <a:ext cx="5610225" cy="2159711"/>
                    </a:xfrm>
                    <a:prstGeom prst="rect">
                      <a:avLst/>
                    </a:prstGeom>
                    <a:ln/>
                  </pic:spPr>
                </pic:pic>
              </a:graphicData>
            </a:graphic>
          </wp:inline>
        </w:drawing>
      </w:r>
    </w:p>
    <w:p w:rsidR="00E02CE9" w:rsidRDefault="008972AB">
      <w:pPr>
        <w:jc w:val="center"/>
        <w:rPr>
          <w:sz w:val="20"/>
          <w:szCs w:val="20"/>
        </w:rPr>
      </w:pPr>
      <w:r>
        <w:rPr>
          <w:sz w:val="20"/>
          <w:szCs w:val="20"/>
        </w:rPr>
        <w:t xml:space="preserve">Fuente: Elaboración con información obtenida de </w:t>
      </w:r>
      <w:r>
        <w:rPr>
          <w:i/>
          <w:sz w:val="20"/>
          <w:szCs w:val="20"/>
        </w:rPr>
        <w:t>“Fatiga y condiciones laborales en conductores de transporte terrestre de pasajeros en una terminal de Colombia”.</w:t>
      </w:r>
    </w:p>
    <w:p w:rsidR="00E02CE9" w:rsidRDefault="008972AB">
      <w:pPr>
        <w:ind w:firstLine="720"/>
        <w:rPr>
          <w:sz w:val="24"/>
          <w:szCs w:val="24"/>
        </w:rPr>
      </w:pPr>
      <w:r>
        <w:rPr>
          <w:sz w:val="24"/>
          <w:szCs w:val="24"/>
        </w:rPr>
        <w:t xml:space="preserve">En relación con el presente proyecto de acuerdo, el esquema evidencia que, aunque la regulación del servicio de transporte en el país recae directamente en el Ministerio de Transporte, esta entidad trabaja de manera coordinada con la Secretaría Distrital de Movilidad a nivel territorial para supervisar y garantizar el seguimiento operativo de las rutas que salen desde Bogotá. Además, se observa que la relación entre las empresas y los conductores está mediada por los propietarios de los vehículos. En este modelo, </w:t>
      </w:r>
      <w:r>
        <w:rPr>
          <w:i/>
          <w:sz w:val="24"/>
          <w:szCs w:val="24"/>
        </w:rPr>
        <w:t>“las empresas ganan según el número de afiliados, los propietarios que afilian sus vehículos perciben una cuota fija por parte de los conductores, y estos últimos ganan bajo dos modalidades: por pago fijo, por ruta o turno realizado, eso depende de la modalidad de contratación”</w:t>
      </w:r>
      <w:r>
        <w:rPr>
          <w:sz w:val="24"/>
          <w:szCs w:val="24"/>
        </w:rPr>
        <w:t xml:space="preserve"> (Miranda Jiménez, 2014, p. 22). Sin embargo, es importante destacar que los riesgos directos recaen sobre los conductores, quienes asumen la responsabilidad final del traslado seguro de los usuarios.</w:t>
      </w:r>
    </w:p>
    <w:p w:rsidR="00E02CE9" w:rsidRDefault="008972AB">
      <w:pPr>
        <w:ind w:firstLine="720"/>
        <w:rPr>
          <w:sz w:val="24"/>
          <w:szCs w:val="24"/>
        </w:rPr>
      </w:pPr>
      <w:r>
        <w:rPr>
          <w:sz w:val="24"/>
          <w:szCs w:val="24"/>
        </w:rPr>
        <w:t>Ahora bien, en lo relacionado con el funcionamiento de la red intermunicipal desde el nivel distrital, el observatorio de movilidad de Bogotá, como una herramienta fundamental para recopilar, estandarizar y difundir la información relacionada con los diversos aspectos que componen la movilidad del distrito y la región, destaca que el servicio de transporte de pasajeros por carretera opera bajo tres categorías de rutas: corta, media y larga distancia. Además, señala que los servicios intermunicipales ingresan a la ciudad a través de ocho corredores principales: Autopista Sur, Calle 13, Calle 80, Avenida Cota-Suba, Autopista Norte, Vía La Calera-Bogotá, Vía Choachí-Bogotá y Avenida Villavicencio y que en Bogotá existen tres terminales de transporte terrestre: la Terminal del Sur, la Terminal del Norte y la Terminal Salitre (también conocida como Terminal de Transporte).</w:t>
      </w:r>
    </w:p>
    <w:p w:rsidR="00E02CE9" w:rsidRDefault="008972AB">
      <w:pPr>
        <w:ind w:firstLine="720"/>
        <w:rPr>
          <w:sz w:val="24"/>
          <w:szCs w:val="24"/>
        </w:rPr>
      </w:pPr>
      <w:r>
        <w:rPr>
          <w:sz w:val="24"/>
          <w:szCs w:val="24"/>
        </w:rPr>
        <w:t xml:space="preserve">Dichos desplazamientos entre Bogotá y los diferentes territorios del país, permiten que la definición de políticas públicas de movilidad, se articulen a la comprensión del modelo de Región Metropolitana en términos de conectividad, sostenibilidad y eficiencia. Entre los beneficios de está integración el ABC de la Región Metropolitana Bogotá - Cundinamarca resalta los siguientes: </w:t>
      </w:r>
    </w:p>
    <w:p w:rsidR="00E02CE9" w:rsidRDefault="008972AB">
      <w:pPr>
        <w:numPr>
          <w:ilvl w:val="0"/>
          <w:numId w:val="4"/>
        </w:numPr>
        <w:spacing w:after="0"/>
        <w:rPr>
          <w:sz w:val="24"/>
          <w:szCs w:val="24"/>
        </w:rPr>
      </w:pPr>
      <w:r>
        <w:rPr>
          <w:sz w:val="24"/>
          <w:szCs w:val="24"/>
        </w:rPr>
        <w:t>Facilita la planificación y ejecución de proyectos de transporte que mejoren la conectividad entre los municipios de la región.</w:t>
      </w:r>
    </w:p>
    <w:p w:rsidR="00E02CE9" w:rsidRDefault="008972AB">
      <w:pPr>
        <w:numPr>
          <w:ilvl w:val="0"/>
          <w:numId w:val="4"/>
        </w:numPr>
        <w:spacing w:after="0"/>
        <w:rPr>
          <w:sz w:val="24"/>
          <w:szCs w:val="24"/>
        </w:rPr>
      </w:pPr>
      <w:r>
        <w:rPr>
          <w:sz w:val="24"/>
          <w:szCs w:val="24"/>
        </w:rPr>
        <w:t>Disminuye los costos del transporte público intermodal para los ciudadanos que se desplazan entre los municipios de la región.</w:t>
      </w:r>
    </w:p>
    <w:p w:rsidR="00E02CE9" w:rsidRDefault="008972AB">
      <w:pPr>
        <w:numPr>
          <w:ilvl w:val="0"/>
          <w:numId w:val="4"/>
        </w:numPr>
        <w:spacing w:after="0"/>
        <w:rPr>
          <w:sz w:val="24"/>
          <w:szCs w:val="24"/>
        </w:rPr>
      </w:pPr>
      <w:r>
        <w:rPr>
          <w:sz w:val="24"/>
          <w:szCs w:val="24"/>
        </w:rPr>
        <w:t>Contribuye a aliviar la congestión y evitar la saturación en las vías de acceso a los centros poblados.</w:t>
      </w:r>
    </w:p>
    <w:p w:rsidR="00E02CE9" w:rsidRDefault="008972AB">
      <w:pPr>
        <w:numPr>
          <w:ilvl w:val="0"/>
          <w:numId w:val="4"/>
        </w:numPr>
        <w:spacing w:after="0"/>
        <w:rPr>
          <w:sz w:val="24"/>
          <w:szCs w:val="24"/>
        </w:rPr>
      </w:pPr>
      <w:r>
        <w:rPr>
          <w:sz w:val="24"/>
          <w:szCs w:val="24"/>
        </w:rPr>
        <w:t>Promueve la integración entre el transporte privado, público y de carga intermunicipal.</w:t>
      </w:r>
    </w:p>
    <w:p w:rsidR="00E02CE9" w:rsidRDefault="008972AB">
      <w:pPr>
        <w:numPr>
          <w:ilvl w:val="0"/>
          <w:numId w:val="4"/>
        </w:numPr>
        <w:rPr>
          <w:sz w:val="24"/>
          <w:szCs w:val="24"/>
        </w:rPr>
      </w:pPr>
      <w:r>
        <w:rPr>
          <w:sz w:val="24"/>
          <w:szCs w:val="24"/>
        </w:rPr>
        <w:t>Abre la posibilidad de desarrollar nuevos corredores para la circulación de personas y mercancías. (Alcaldía Mayor de Bogotá, 2023)</w:t>
      </w:r>
    </w:p>
    <w:p w:rsidR="00E02CE9" w:rsidRDefault="00E02CE9">
      <w:pPr>
        <w:rPr>
          <w:sz w:val="24"/>
          <w:szCs w:val="24"/>
        </w:rPr>
      </w:pPr>
    </w:p>
    <w:p w:rsidR="00E02CE9" w:rsidRDefault="008972AB">
      <w:pPr>
        <w:numPr>
          <w:ilvl w:val="1"/>
          <w:numId w:val="8"/>
        </w:numPr>
        <w:rPr>
          <w:sz w:val="24"/>
          <w:szCs w:val="24"/>
        </w:rPr>
      </w:pPr>
      <w:r>
        <w:rPr>
          <w:b/>
          <w:sz w:val="24"/>
          <w:szCs w:val="24"/>
        </w:rPr>
        <w:t>Experiencia del Distrito para el manejo de la fatiga en el transporte público.</w:t>
      </w:r>
    </w:p>
    <w:p w:rsidR="00E02CE9" w:rsidRDefault="008972AB">
      <w:pPr>
        <w:rPr>
          <w:sz w:val="24"/>
          <w:szCs w:val="24"/>
        </w:rPr>
      </w:pPr>
      <w:r>
        <w:rPr>
          <w:sz w:val="24"/>
          <w:szCs w:val="24"/>
        </w:rPr>
        <w:br/>
      </w:r>
      <w:r>
        <w:rPr>
          <w:sz w:val="24"/>
          <w:szCs w:val="24"/>
        </w:rPr>
        <w:tab/>
        <w:t xml:space="preserve">Una vez revisado de manera general el funcionamiento del transporte terrestre intermunicipal y la normatividad que lo regula, es importante señalar para la justificación del acuerdo el trabajo que se ha hecho desde otras administraciones distritales, para capacitar y gestionar la carga laboral en el recurso humano que opera el transporte público y privado de la ciudad.  </w:t>
      </w:r>
    </w:p>
    <w:p w:rsidR="00E02CE9" w:rsidRDefault="008972AB">
      <w:pPr>
        <w:ind w:firstLine="720"/>
        <w:rPr>
          <w:sz w:val="24"/>
          <w:szCs w:val="24"/>
        </w:rPr>
      </w:pPr>
      <w:r>
        <w:rPr>
          <w:sz w:val="24"/>
          <w:szCs w:val="24"/>
        </w:rPr>
        <w:t xml:space="preserve">En este sentido, en el marco de la política internacional conocida como "Visión Cero", cuyo objetivo es </w:t>
      </w:r>
      <w:r>
        <w:rPr>
          <w:i/>
          <w:sz w:val="24"/>
          <w:szCs w:val="24"/>
        </w:rPr>
        <w:t>“reducir a cero el número de víctimas fatales y heridos graves en siniestros viales”</w:t>
      </w:r>
      <w:r>
        <w:rPr>
          <w:sz w:val="24"/>
          <w:szCs w:val="24"/>
        </w:rPr>
        <w:t>, la Alcaldía de Enrique Peñalosa, a través de la Secretaría Distrital de Movilidad, adoptó en 2016 un enfoque de seguridad vial internacional en el que se reconoce que ninguna muerte en el tránsito es aceptable y todas se pueden evitar. Este enfoque fue implementado gracias a la participación de Bogotá en la iniciativa para la Seguridad Vial Global de Bloomberg Philanthropies, tras ser seleccionada entre las diez ciudades del mundo para formar parte de está estrategia. El propósito principal de su aceptación fue reducir la cantidad de siniestros viales y adoptar esta visión como hoja de ruta para mejorar la seguridad vial en la ciudad.</w:t>
      </w:r>
    </w:p>
    <w:p w:rsidR="00E02CE9" w:rsidRDefault="008972AB">
      <w:pPr>
        <w:ind w:firstLine="720"/>
        <w:rPr>
          <w:sz w:val="24"/>
          <w:szCs w:val="24"/>
        </w:rPr>
      </w:pPr>
      <w:r>
        <w:rPr>
          <w:sz w:val="24"/>
          <w:szCs w:val="24"/>
        </w:rPr>
        <w:t xml:space="preserve">De manera complementaria, y como medida para implementar la política de "Visión Cero", la Secretaría Distrital de Movilidad lanzó una propuesta participativa denominada Red Empresarial de Seguridad Vial, cuyo propósito fue promover la participación interinstitucional entre entidades públicas y privadas, fomentando actividades y espacios de diálogo que sensibilicen a los diferentes actores viales sobre su papel como responsables directos en la tarea de salvar vidas en las vías. </w:t>
      </w:r>
    </w:p>
    <w:p w:rsidR="00E02CE9" w:rsidRDefault="008972AB">
      <w:pPr>
        <w:ind w:firstLine="720"/>
        <w:rPr>
          <w:sz w:val="24"/>
          <w:szCs w:val="24"/>
        </w:rPr>
      </w:pPr>
      <w:r>
        <w:rPr>
          <w:sz w:val="24"/>
          <w:szCs w:val="24"/>
        </w:rPr>
        <w:t>Asi, para dar culplimiento a los cuatro principios de Visión Cero, los cuales son:  i) Las fatalidades y lesiones graves son prevenibles;</w:t>
      </w:r>
      <w:r>
        <w:rPr>
          <w:b/>
          <w:sz w:val="24"/>
          <w:szCs w:val="24"/>
        </w:rPr>
        <w:t xml:space="preserve"> ii) El sistema de transporte debe ser seguro;</w:t>
      </w:r>
      <w:r>
        <w:rPr>
          <w:sz w:val="24"/>
          <w:szCs w:val="24"/>
        </w:rPr>
        <w:t xml:space="preserve"> iii) Cometer errores es de humanos; iv) A mayor velocidad, mayor es la gravedad del siniestro; la administración distrital debido al nivel de siniestralidad vial que estaba entrando a formar parte de los problemas de salud pública encaminó gran parte su política pública de movilidad a la protección de las vidas en el tránsito, mediante las siguientes acciones:  </w:t>
      </w:r>
    </w:p>
    <w:p w:rsidR="00E02CE9" w:rsidRDefault="00E02CE9">
      <w:pPr>
        <w:ind w:firstLine="720"/>
        <w:rPr>
          <w:sz w:val="24"/>
          <w:szCs w:val="24"/>
        </w:rPr>
      </w:pPr>
    </w:p>
    <w:p w:rsidR="00E02CE9" w:rsidRDefault="008972AB">
      <w:pPr>
        <w:jc w:val="left"/>
        <w:rPr>
          <w:sz w:val="24"/>
          <w:szCs w:val="24"/>
        </w:rPr>
      </w:pPr>
      <w:r>
        <w:rPr>
          <w:noProof/>
          <w:sz w:val="24"/>
          <w:szCs w:val="24"/>
          <w:lang w:val="es-419" w:eastAsia="es-419"/>
        </w:rPr>
        <w:drawing>
          <wp:inline distT="114300" distB="114300" distL="114300" distR="114300">
            <wp:extent cx="5677853" cy="2637516"/>
            <wp:effectExtent l="0" t="0" r="0" b="0"/>
            <wp:docPr id="1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7"/>
                    <a:srcRect/>
                    <a:stretch>
                      <a:fillRect/>
                    </a:stretch>
                  </pic:blipFill>
                  <pic:spPr>
                    <a:xfrm>
                      <a:off x="0" y="0"/>
                      <a:ext cx="5677853" cy="2637516"/>
                    </a:xfrm>
                    <a:prstGeom prst="rect">
                      <a:avLst/>
                    </a:prstGeom>
                    <a:ln/>
                  </pic:spPr>
                </pic:pic>
              </a:graphicData>
            </a:graphic>
          </wp:inline>
        </w:drawing>
      </w:r>
    </w:p>
    <w:p w:rsidR="00E02CE9" w:rsidRDefault="00E02CE9">
      <w:pPr>
        <w:jc w:val="left"/>
        <w:rPr>
          <w:sz w:val="24"/>
          <w:szCs w:val="24"/>
        </w:rPr>
      </w:pPr>
    </w:p>
    <w:p w:rsidR="00E02CE9" w:rsidRDefault="008972AB">
      <w:pPr>
        <w:jc w:val="center"/>
        <w:rPr>
          <w:sz w:val="24"/>
          <w:szCs w:val="24"/>
        </w:rPr>
      </w:pPr>
      <w:r>
        <w:rPr>
          <w:sz w:val="24"/>
          <w:szCs w:val="24"/>
        </w:rPr>
        <w:t xml:space="preserve">Nota: Elaboración Propia con información de la Alcaldía Mayor de Bogotá. </w:t>
      </w:r>
    </w:p>
    <w:p w:rsidR="00E02CE9" w:rsidRDefault="00E02CE9">
      <w:pPr>
        <w:jc w:val="center"/>
        <w:rPr>
          <w:sz w:val="24"/>
          <w:szCs w:val="24"/>
        </w:rPr>
      </w:pPr>
    </w:p>
    <w:p w:rsidR="00E02CE9" w:rsidRDefault="008972AB">
      <w:pPr>
        <w:ind w:firstLine="720"/>
        <w:rPr>
          <w:color w:val="333333"/>
          <w:sz w:val="24"/>
          <w:szCs w:val="24"/>
          <w:highlight w:val="white"/>
        </w:rPr>
      </w:pPr>
      <w:r>
        <w:rPr>
          <w:color w:val="333333"/>
          <w:sz w:val="24"/>
          <w:szCs w:val="24"/>
          <w:highlight w:val="white"/>
        </w:rPr>
        <w:t xml:space="preserve">Considerando que se ha descrito de manera general el contenido de Visión Cero y su impacto en el distrito, es importante anotar que cada una de las acciones relacionadas en la ilustración anterior generó resultados individuales, sin embargo, para el contexto de la  justificación del acuerdo, </w:t>
      </w:r>
      <w:r>
        <w:rPr>
          <w:b/>
          <w:color w:val="333333"/>
          <w:sz w:val="24"/>
          <w:szCs w:val="24"/>
          <w:highlight w:val="white"/>
        </w:rPr>
        <w:t>el ítem número cinco (5) asociado a la seguridad vial en el transporte público, desarrolló una serie de programas y talleres a través de la Red Empresarial de Seguridad Vial, encaminados a fortalecer la seguridad de los trabajadores, evitar las bajas laborales y promover la responsabilidad social de los actores viales, aspectos esenciales para el desarrollo de la presente iniciativa</w:t>
      </w:r>
      <w:r>
        <w:rPr>
          <w:color w:val="333333"/>
          <w:sz w:val="24"/>
          <w:szCs w:val="24"/>
          <w:highlight w:val="white"/>
        </w:rPr>
        <w:t xml:space="preserve">. </w:t>
      </w:r>
    </w:p>
    <w:p w:rsidR="00E02CE9" w:rsidRDefault="008972AB">
      <w:pPr>
        <w:ind w:firstLine="720"/>
        <w:rPr>
          <w:color w:val="333333"/>
          <w:sz w:val="24"/>
          <w:szCs w:val="24"/>
          <w:highlight w:val="white"/>
        </w:rPr>
      </w:pPr>
      <w:r>
        <w:rPr>
          <w:color w:val="333333"/>
          <w:sz w:val="24"/>
          <w:szCs w:val="24"/>
          <w:highlight w:val="white"/>
        </w:rPr>
        <w:t xml:space="preserve">En este contexto, se realizaron un total de ocho (8) talleres en los que participaron diferentes empresas, conductores y pasajeros sobre los diversos temas que engloba el programa “Visión Cero Bogotá”. Mediante la Red Empresarial de Seguridad Vial se diseñaron capacitaciones y actividades conforme a lo establecido en el Plan Distrital de Seguridad Vial 2017-2026 y fueron adaptadas a los distritos actores viales involucrados. Durante las sesiones se expuso el diagnóstico de siniestralidad vial en la ciudad, en el que se denotaron datos representativos como el hecho de que en Bogotá fallecen 7.5 personas por cada 100.000 habitantes a causa de siniestros viales convirtiéndose en un problema de salud pública, así como, el desarrollo de estrategias de prevención, mitigación y acompañamiento enfocadas en los factores de riesgo a los que diariamente están expuestos los actores viales. </w:t>
      </w:r>
    </w:p>
    <w:p w:rsidR="00E02CE9" w:rsidRDefault="008972AB">
      <w:pPr>
        <w:ind w:firstLine="720"/>
        <w:rPr>
          <w:color w:val="333333"/>
          <w:sz w:val="24"/>
          <w:szCs w:val="24"/>
          <w:highlight w:val="white"/>
        </w:rPr>
      </w:pPr>
      <w:r>
        <w:rPr>
          <w:color w:val="333333"/>
          <w:sz w:val="24"/>
          <w:szCs w:val="24"/>
          <w:highlight w:val="white"/>
        </w:rPr>
        <w:t xml:space="preserve">Por lo tanto, se considera pertinente comprender de manera concisa el contenido de cada taller y su respectiva cartilla, con el propósito de comprender la relación estrecha que existe entre las condiciones físicas y mentales de los conductores -incluyendo factores como la fatiga o el cansancio- con las causas de siniestralidad vial que se presentan en el distrito. </w:t>
      </w:r>
    </w:p>
    <w:p w:rsidR="00E02CE9" w:rsidRDefault="00E02CE9">
      <w:pPr>
        <w:rPr>
          <w:color w:val="333333"/>
          <w:sz w:val="24"/>
          <w:szCs w:val="24"/>
          <w:highlight w:val="white"/>
        </w:rPr>
      </w:pPr>
    </w:p>
    <w:tbl>
      <w:tblPr>
        <w:tblStyle w:val="a"/>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03"/>
        <w:gridCol w:w="7035"/>
      </w:tblGrid>
      <w:tr w:rsidR="00E02CE9">
        <w:trPr>
          <w:trHeight w:val="405"/>
        </w:trPr>
        <w:tc>
          <w:tcPr>
            <w:tcW w:w="1803" w:type="dxa"/>
            <w:tcBorders>
              <w:top w:val="nil"/>
              <w:left w:val="nil"/>
              <w:bottom w:val="single" w:sz="5" w:space="0" w:color="7F7F7F"/>
              <w:right w:val="nil"/>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w:t>
            </w:r>
          </w:p>
        </w:tc>
        <w:tc>
          <w:tcPr>
            <w:tcW w:w="7034" w:type="dxa"/>
            <w:tcBorders>
              <w:top w:val="nil"/>
              <w:left w:val="nil"/>
              <w:bottom w:val="single" w:sz="5" w:space="0" w:color="7F7F7F"/>
              <w:right w:val="nil"/>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Contenido general de las cartillas asociado a las estrategias y causas de la siniestralidad vial en Bogotá</w:t>
            </w:r>
          </w:p>
        </w:tc>
      </w:tr>
      <w:tr w:rsidR="00E02CE9">
        <w:trPr>
          <w:trHeight w:val="376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1 - Visión Cero</w:t>
            </w:r>
          </w:p>
        </w:tc>
        <w:tc>
          <w:tcPr>
            <w:tcW w:w="7034" w:type="dxa"/>
            <w:tcBorders>
              <w:top w:val="nil"/>
              <w:left w:val="nil"/>
              <w:bottom w:val="nil"/>
              <w:right w:val="nil"/>
            </w:tcBorders>
            <w:shd w:val="clear" w:color="auto" w:fill="F2F2F2"/>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Estrategia para reducir siniestros viales a cero.</w:t>
            </w:r>
          </w:p>
          <w:p w:rsidR="00E02CE9" w:rsidRDefault="008972AB">
            <w:pPr>
              <w:spacing w:before="240" w:after="160"/>
              <w:rPr>
                <w:color w:val="333333"/>
                <w:sz w:val="20"/>
                <w:szCs w:val="20"/>
              </w:rPr>
            </w:pPr>
            <w:r>
              <w:rPr>
                <w:color w:val="333333"/>
                <w:sz w:val="20"/>
                <w:szCs w:val="20"/>
              </w:rPr>
              <w:t>- Identificación de actores viales vulnerables (peatones, ciclistas, motociclistas).</w:t>
            </w:r>
          </w:p>
          <w:p w:rsidR="00E02CE9" w:rsidRDefault="008972AB">
            <w:pPr>
              <w:spacing w:before="240" w:after="160"/>
              <w:rPr>
                <w:color w:val="333333"/>
                <w:sz w:val="20"/>
                <w:szCs w:val="20"/>
              </w:rPr>
            </w:pPr>
            <w:r>
              <w:rPr>
                <w:color w:val="333333"/>
                <w:sz w:val="20"/>
                <w:szCs w:val="20"/>
              </w:rPr>
              <w:t>- Importancia de la infraestructura segura y el control de velocidad.</w:t>
            </w:r>
          </w:p>
          <w:p w:rsidR="00E02CE9" w:rsidRDefault="008972AB">
            <w:pPr>
              <w:spacing w:before="240" w:after="160"/>
              <w:rPr>
                <w:color w:val="333333"/>
                <w:sz w:val="20"/>
                <w:szCs w:val="20"/>
              </w:rPr>
            </w:pPr>
            <w:r>
              <w:rPr>
                <w:color w:val="333333"/>
                <w:sz w:val="20"/>
                <w:szCs w:val="20"/>
              </w:rPr>
              <w:t>- En Bogotá, mueren 7.5 personas por cada 100,000 habitantes en siniestros viales.</w:t>
            </w:r>
          </w:p>
          <w:p w:rsidR="00E02CE9" w:rsidRDefault="008972AB">
            <w:pPr>
              <w:spacing w:before="240" w:after="160"/>
              <w:rPr>
                <w:color w:val="333333"/>
                <w:sz w:val="20"/>
                <w:szCs w:val="20"/>
              </w:rPr>
            </w:pPr>
            <w:r>
              <w:rPr>
                <w:color w:val="333333"/>
                <w:sz w:val="20"/>
                <w:szCs w:val="20"/>
              </w:rPr>
              <w:t>- Entre 2003 y 2016, el 96% de las fatalidades fueron peatones, ciclistas y motociclistas.</w:t>
            </w:r>
          </w:p>
          <w:p w:rsidR="00E02CE9" w:rsidRDefault="008972AB">
            <w:pPr>
              <w:spacing w:before="240" w:after="160"/>
              <w:rPr>
                <w:color w:val="333333"/>
                <w:sz w:val="20"/>
                <w:szCs w:val="20"/>
              </w:rPr>
            </w:pPr>
            <w:r>
              <w:rPr>
                <w:color w:val="333333"/>
                <w:sz w:val="20"/>
                <w:szCs w:val="20"/>
              </w:rPr>
              <w:t>- Un peatón tiene 85% de probabilidad de morir si es atropellado a 50 km/h, pero solo 10% a 30 km/h.</w:t>
            </w:r>
          </w:p>
        </w:tc>
      </w:tr>
      <w:tr w:rsidR="00E02CE9">
        <w:trPr>
          <w:trHeight w:val="280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2 - Responsabilidad Social.</w:t>
            </w:r>
          </w:p>
        </w:tc>
        <w:tc>
          <w:tcPr>
            <w:tcW w:w="7034" w:type="dxa"/>
            <w:tcBorders>
              <w:top w:val="nil"/>
              <w:left w:val="nil"/>
              <w:bottom w:val="nil"/>
              <w:right w:val="nil"/>
            </w:tcBorders>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Seguridad vial como parte de la responsabilidad social empresarial.</w:t>
            </w:r>
          </w:p>
          <w:p w:rsidR="00E02CE9" w:rsidRDefault="008972AB">
            <w:pPr>
              <w:spacing w:before="240" w:after="160"/>
              <w:rPr>
                <w:color w:val="333333"/>
                <w:sz w:val="20"/>
                <w:szCs w:val="20"/>
              </w:rPr>
            </w:pPr>
            <w:r>
              <w:rPr>
                <w:color w:val="333333"/>
                <w:sz w:val="20"/>
                <w:szCs w:val="20"/>
              </w:rPr>
              <w:t>- Beneficios de invertir en seguridad vial para la empresa y la sociedad.</w:t>
            </w:r>
          </w:p>
          <w:p w:rsidR="00E02CE9" w:rsidRDefault="008972AB">
            <w:pPr>
              <w:spacing w:before="240" w:after="160"/>
              <w:rPr>
                <w:color w:val="333333"/>
                <w:sz w:val="20"/>
                <w:szCs w:val="20"/>
              </w:rPr>
            </w:pPr>
            <w:r>
              <w:rPr>
                <w:color w:val="333333"/>
                <w:sz w:val="20"/>
                <w:szCs w:val="20"/>
              </w:rPr>
              <w:t>- En 2017, hubo 546 muertos y 14,882 lesionados en siniestros viales en Bogotá.</w:t>
            </w:r>
          </w:p>
          <w:p w:rsidR="00E02CE9" w:rsidRDefault="008972AB">
            <w:pPr>
              <w:spacing w:before="240" w:after="160"/>
              <w:rPr>
                <w:color w:val="333333"/>
                <w:sz w:val="20"/>
                <w:szCs w:val="20"/>
              </w:rPr>
            </w:pPr>
            <w:r>
              <w:rPr>
                <w:color w:val="333333"/>
                <w:sz w:val="20"/>
                <w:szCs w:val="20"/>
              </w:rPr>
              <w:t>- Empresas que invierten en seguridad vial reducen costos por bajas laborales, accidentes y daño a la reputación</w:t>
            </w:r>
          </w:p>
        </w:tc>
      </w:tr>
      <w:tr w:rsidR="00E02CE9">
        <w:trPr>
          <w:trHeight w:val="424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3 - Eco-Conducción.</w:t>
            </w:r>
          </w:p>
        </w:tc>
        <w:tc>
          <w:tcPr>
            <w:tcW w:w="7034" w:type="dxa"/>
            <w:tcBorders>
              <w:top w:val="nil"/>
              <w:left w:val="nil"/>
              <w:bottom w:val="nil"/>
              <w:right w:val="nil"/>
            </w:tcBorders>
            <w:shd w:val="clear" w:color="auto" w:fill="F2F2F2"/>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Técnicas de conducción eficiente para reducir consumo de combustible y contaminación.</w:t>
            </w:r>
          </w:p>
          <w:p w:rsidR="00E02CE9" w:rsidRDefault="008972AB">
            <w:pPr>
              <w:spacing w:before="240" w:after="160"/>
              <w:rPr>
                <w:color w:val="333333"/>
                <w:sz w:val="20"/>
                <w:szCs w:val="20"/>
              </w:rPr>
            </w:pPr>
            <w:r>
              <w:rPr>
                <w:color w:val="333333"/>
                <w:sz w:val="20"/>
                <w:szCs w:val="20"/>
              </w:rPr>
              <w:t>- Impacto positivo en seguridad vial al evitar frenadas y aceleraciones bruscas, con el uso de tecnologías para optimizar el rendimiento del vehículo.</w:t>
            </w:r>
          </w:p>
          <w:p w:rsidR="00E02CE9" w:rsidRDefault="008972AB">
            <w:pPr>
              <w:spacing w:before="240" w:after="160"/>
              <w:rPr>
                <w:color w:val="333333"/>
                <w:sz w:val="20"/>
                <w:szCs w:val="20"/>
              </w:rPr>
            </w:pPr>
            <w:r>
              <w:rPr>
                <w:color w:val="333333"/>
                <w:sz w:val="20"/>
                <w:szCs w:val="20"/>
              </w:rPr>
              <w:t>- La fatiga provoca pérdida de paciencia, microsueños y dificultad para calcular distancias, es por ello que se debe evitar manejar con sueño o estrés para prevenir accidentes.</w:t>
            </w:r>
          </w:p>
          <w:p w:rsidR="00E02CE9" w:rsidRDefault="008972AB">
            <w:pPr>
              <w:spacing w:before="240" w:after="160"/>
              <w:rPr>
                <w:color w:val="333333"/>
                <w:sz w:val="20"/>
                <w:szCs w:val="20"/>
              </w:rPr>
            </w:pPr>
            <w:r>
              <w:rPr>
                <w:color w:val="333333"/>
                <w:sz w:val="20"/>
                <w:szCs w:val="20"/>
              </w:rPr>
              <w:t>- El transporte consume 44% de la energía primaria del país.</w:t>
            </w:r>
          </w:p>
          <w:p w:rsidR="00E02CE9" w:rsidRDefault="008972AB">
            <w:pPr>
              <w:spacing w:before="240" w:after="160"/>
              <w:rPr>
                <w:color w:val="333333"/>
                <w:sz w:val="20"/>
                <w:szCs w:val="20"/>
              </w:rPr>
            </w:pPr>
            <w:r>
              <w:rPr>
                <w:color w:val="333333"/>
                <w:sz w:val="20"/>
                <w:szCs w:val="20"/>
              </w:rPr>
              <w:t>- Conducir con presión baja en llantas aumenta el consumo de combustible 3%</w:t>
            </w:r>
          </w:p>
          <w:p w:rsidR="00E02CE9" w:rsidRDefault="008972AB">
            <w:pPr>
              <w:spacing w:before="240" w:after="160"/>
              <w:rPr>
                <w:color w:val="333333"/>
                <w:sz w:val="20"/>
                <w:szCs w:val="20"/>
              </w:rPr>
            </w:pPr>
            <w:r>
              <w:rPr>
                <w:color w:val="333333"/>
                <w:sz w:val="20"/>
                <w:szCs w:val="20"/>
              </w:rPr>
              <w:t xml:space="preserve">- La eco-conducción puede reducir siniestros en un </w:t>
            </w:r>
            <w:r>
              <w:rPr>
                <w:b/>
                <w:color w:val="333333"/>
                <w:sz w:val="20"/>
                <w:szCs w:val="20"/>
              </w:rPr>
              <w:t>40%</w:t>
            </w:r>
            <w:r>
              <w:rPr>
                <w:color w:val="333333"/>
                <w:sz w:val="20"/>
                <w:szCs w:val="20"/>
              </w:rPr>
              <w:t>.</w:t>
            </w:r>
          </w:p>
        </w:tc>
      </w:tr>
      <w:tr w:rsidR="00E02CE9">
        <w:trPr>
          <w:trHeight w:val="304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4 - Prácticas Seguras en Dos Ruedas</w:t>
            </w:r>
          </w:p>
        </w:tc>
        <w:tc>
          <w:tcPr>
            <w:tcW w:w="7034" w:type="dxa"/>
            <w:tcBorders>
              <w:top w:val="nil"/>
              <w:left w:val="nil"/>
              <w:bottom w:val="nil"/>
              <w:right w:val="nil"/>
            </w:tcBorders>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Estrategias para mitigar riesgos en motociclistas y ciclistas.</w:t>
            </w:r>
          </w:p>
          <w:p w:rsidR="00E02CE9" w:rsidRDefault="008972AB">
            <w:pPr>
              <w:spacing w:before="240" w:after="160"/>
              <w:rPr>
                <w:color w:val="333333"/>
                <w:sz w:val="20"/>
                <w:szCs w:val="20"/>
              </w:rPr>
            </w:pPr>
            <w:r>
              <w:rPr>
                <w:color w:val="333333"/>
                <w:sz w:val="20"/>
                <w:szCs w:val="20"/>
              </w:rPr>
              <w:t>- Uso obligatorio de elementos de protección certificados.</w:t>
            </w:r>
          </w:p>
          <w:p w:rsidR="00E02CE9" w:rsidRDefault="008972AB">
            <w:pPr>
              <w:spacing w:before="240" w:after="160"/>
              <w:rPr>
                <w:color w:val="333333"/>
                <w:sz w:val="20"/>
                <w:szCs w:val="20"/>
              </w:rPr>
            </w:pPr>
            <w:r>
              <w:rPr>
                <w:color w:val="333333"/>
                <w:sz w:val="20"/>
                <w:szCs w:val="20"/>
              </w:rPr>
              <w:t>- Importancia de la formación y auditoría de seguridad vial.</w:t>
            </w:r>
          </w:p>
          <w:p w:rsidR="00E02CE9" w:rsidRDefault="008972AB">
            <w:pPr>
              <w:spacing w:before="240" w:after="160"/>
              <w:rPr>
                <w:color w:val="333333"/>
                <w:sz w:val="20"/>
                <w:szCs w:val="20"/>
              </w:rPr>
            </w:pPr>
            <w:r>
              <w:rPr>
                <w:color w:val="333333"/>
                <w:sz w:val="20"/>
                <w:szCs w:val="20"/>
              </w:rPr>
              <w:t>- En 2017 en siniestros viales fueron motociclistas.</w:t>
            </w:r>
          </w:p>
          <w:p w:rsidR="00E02CE9" w:rsidRDefault="008972AB">
            <w:pPr>
              <w:spacing w:before="240" w:after="160"/>
              <w:rPr>
                <w:color w:val="333333"/>
                <w:sz w:val="20"/>
                <w:szCs w:val="20"/>
              </w:rPr>
            </w:pPr>
            <w:r>
              <w:rPr>
                <w:color w:val="333333"/>
                <w:sz w:val="20"/>
                <w:szCs w:val="20"/>
              </w:rPr>
              <w:t xml:space="preserve"> -35% de los motociclistas fallecidos sufrieron trauma craneoencefálico.</w:t>
            </w:r>
          </w:p>
          <w:p w:rsidR="00E02CE9" w:rsidRDefault="008972AB">
            <w:pPr>
              <w:spacing w:before="240" w:after="160"/>
              <w:rPr>
                <w:color w:val="333333"/>
                <w:sz w:val="20"/>
                <w:szCs w:val="20"/>
              </w:rPr>
            </w:pPr>
            <w:r>
              <w:rPr>
                <w:color w:val="333333"/>
                <w:sz w:val="20"/>
                <w:szCs w:val="20"/>
              </w:rPr>
              <w:t>- No hay regulación estricta sobre la venta de elementos de protección personal.</w:t>
            </w:r>
          </w:p>
        </w:tc>
      </w:tr>
      <w:tr w:rsidR="00E02CE9">
        <w:trPr>
          <w:trHeight w:val="400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5 - Transporte de Carga</w:t>
            </w:r>
          </w:p>
        </w:tc>
        <w:tc>
          <w:tcPr>
            <w:tcW w:w="7034" w:type="dxa"/>
            <w:tcBorders>
              <w:top w:val="nil"/>
              <w:left w:val="nil"/>
              <w:bottom w:val="nil"/>
              <w:right w:val="nil"/>
            </w:tcBorders>
            <w:shd w:val="clear" w:color="auto" w:fill="F2F2F2"/>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Importancia de la planeación de rutas y el control de vehículos.</w:t>
            </w:r>
          </w:p>
          <w:p w:rsidR="00E02CE9" w:rsidRDefault="008972AB">
            <w:pPr>
              <w:spacing w:before="240" w:after="160"/>
              <w:rPr>
                <w:color w:val="333333"/>
                <w:sz w:val="20"/>
                <w:szCs w:val="20"/>
              </w:rPr>
            </w:pPr>
            <w:r>
              <w:rPr>
                <w:color w:val="333333"/>
                <w:sz w:val="20"/>
                <w:szCs w:val="20"/>
              </w:rPr>
              <w:t>- Capacitación en seguridad vial y mantenimiento vehicular.</w:t>
            </w:r>
          </w:p>
          <w:p w:rsidR="00E02CE9" w:rsidRDefault="008972AB">
            <w:pPr>
              <w:spacing w:before="240" w:after="160"/>
              <w:rPr>
                <w:color w:val="333333"/>
                <w:sz w:val="20"/>
                <w:szCs w:val="20"/>
              </w:rPr>
            </w:pPr>
            <w:r>
              <w:rPr>
                <w:color w:val="333333"/>
                <w:sz w:val="20"/>
                <w:szCs w:val="20"/>
              </w:rPr>
              <w:t>- Implementación de incentivos para conductores con buenas prácticas, junto con recomendaciones para  promover pausas activas y tiempos de descanso.</w:t>
            </w:r>
          </w:p>
          <w:p w:rsidR="00E02CE9" w:rsidRDefault="008972AB">
            <w:pPr>
              <w:spacing w:before="240" w:after="160"/>
              <w:rPr>
                <w:color w:val="333333"/>
                <w:sz w:val="20"/>
                <w:szCs w:val="20"/>
              </w:rPr>
            </w:pPr>
            <w:r>
              <w:rPr>
                <w:color w:val="333333"/>
                <w:sz w:val="20"/>
                <w:szCs w:val="20"/>
              </w:rPr>
              <w:t>- Control de horarios de tránsito y tiempos de conducción para evitar fatiga.</w:t>
            </w:r>
          </w:p>
          <w:p w:rsidR="00E02CE9" w:rsidRDefault="008972AB">
            <w:pPr>
              <w:spacing w:before="240" w:after="160"/>
              <w:rPr>
                <w:color w:val="333333"/>
                <w:sz w:val="20"/>
                <w:szCs w:val="20"/>
              </w:rPr>
            </w:pPr>
            <w:r>
              <w:rPr>
                <w:color w:val="333333"/>
                <w:sz w:val="20"/>
                <w:szCs w:val="20"/>
              </w:rPr>
              <w:t>- Entre 2015 y 2017, hubo 1,466 muertes y 8,689 lesionados en siniestros con vehículos de carga.</w:t>
            </w:r>
          </w:p>
          <w:p w:rsidR="00E02CE9" w:rsidRDefault="008972AB">
            <w:pPr>
              <w:spacing w:before="240" w:after="160"/>
              <w:rPr>
                <w:color w:val="333333"/>
                <w:sz w:val="20"/>
                <w:szCs w:val="20"/>
              </w:rPr>
            </w:pPr>
            <w:r>
              <w:rPr>
                <w:color w:val="333333"/>
                <w:sz w:val="20"/>
                <w:szCs w:val="20"/>
              </w:rPr>
              <w:t>- La instalación de cintas retrorreflectivas reduce accidentes en condiciones de baja visibilidad.</w:t>
            </w:r>
          </w:p>
        </w:tc>
      </w:tr>
      <w:tr w:rsidR="00E02CE9">
        <w:trPr>
          <w:trHeight w:val="304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6 - Transporte de Pasajeros</w:t>
            </w:r>
          </w:p>
        </w:tc>
        <w:tc>
          <w:tcPr>
            <w:tcW w:w="7034" w:type="dxa"/>
            <w:tcBorders>
              <w:top w:val="nil"/>
              <w:left w:val="nil"/>
              <w:bottom w:val="nil"/>
              <w:right w:val="nil"/>
            </w:tcBorders>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Responsabilidad del conductor con los pasajeros.</w:t>
            </w:r>
          </w:p>
          <w:p w:rsidR="00E02CE9" w:rsidRDefault="008972AB">
            <w:pPr>
              <w:spacing w:before="240" w:after="160"/>
              <w:rPr>
                <w:color w:val="333333"/>
                <w:sz w:val="20"/>
                <w:szCs w:val="20"/>
              </w:rPr>
            </w:pPr>
            <w:r>
              <w:rPr>
                <w:color w:val="333333"/>
                <w:sz w:val="20"/>
                <w:szCs w:val="20"/>
              </w:rPr>
              <w:t>ontrol de velocidad y cumplimiento de normas de tránsito.</w:t>
            </w:r>
          </w:p>
          <w:p w:rsidR="00E02CE9" w:rsidRDefault="008972AB">
            <w:pPr>
              <w:spacing w:before="240" w:after="160"/>
              <w:rPr>
                <w:color w:val="333333"/>
                <w:sz w:val="20"/>
                <w:szCs w:val="20"/>
              </w:rPr>
            </w:pPr>
            <w:r>
              <w:rPr>
                <w:color w:val="333333"/>
                <w:sz w:val="20"/>
                <w:szCs w:val="20"/>
              </w:rPr>
              <w:t>- Uso de tecnologías y herramientas de capacitación innovadoras.</w:t>
            </w:r>
          </w:p>
          <w:p w:rsidR="00E02CE9" w:rsidRDefault="008972AB">
            <w:pPr>
              <w:spacing w:before="240" w:after="160"/>
              <w:rPr>
                <w:color w:val="333333"/>
                <w:sz w:val="20"/>
                <w:szCs w:val="20"/>
              </w:rPr>
            </w:pPr>
            <w:r>
              <w:rPr>
                <w:color w:val="333333"/>
                <w:sz w:val="20"/>
                <w:szCs w:val="20"/>
              </w:rPr>
              <w:t>- Regulación de horarios de conducción y descanso.</w:t>
            </w:r>
          </w:p>
          <w:p w:rsidR="00E02CE9" w:rsidRDefault="008972AB">
            <w:pPr>
              <w:spacing w:before="240" w:after="160"/>
              <w:rPr>
                <w:color w:val="333333"/>
                <w:sz w:val="20"/>
                <w:szCs w:val="20"/>
              </w:rPr>
            </w:pPr>
            <w:r>
              <w:rPr>
                <w:color w:val="333333"/>
                <w:sz w:val="20"/>
                <w:szCs w:val="20"/>
              </w:rPr>
              <w:t>- Importancia del bienestar del conductor para evitar riesgos en el servicio.</w:t>
            </w:r>
          </w:p>
          <w:p w:rsidR="00E02CE9" w:rsidRDefault="008972AB">
            <w:pPr>
              <w:spacing w:before="240" w:after="160"/>
              <w:rPr>
                <w:color w:val="333333"/>
                <w:sz w:val="20"/>
                <w:szCs w:val="20"/>
              </w:rPr>
            </w:pPr>
            <w:r>
              <w:rPr>
                <w:color w:val="333333"/>
                <w:sz w:val="20"/>
                <w:szCs w:val="20"/>
              </w:rPr>
              <w:t>- En 2018, 361 personas fallecieron en siniestros viales en Colombia, de las cuales 17 estaban en taxis.</w:t>
            </w:r>
          </w:p>
        </w:tc>
      </w:tr>
      <w:tr w:rsidR="00E02CE9">
        <w:trPr>
          <w:trHeight w:val="592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7 - Control de la Fatiga en el Transporte Público</w:t>
            </w:r>
          </w:p>
        </w:tc>
        <w:tc>
          <w:tcPr>
            <w:tcW w:w="7034" w:type="dxa"/>
            <w:tcBorders>
              <w:top w:val="nil"/>
              <w:left w:val="nil"/>
              <w:bottom w:val="nil"/>
              <w:right w:val="nil"/>
            </w:tcBorders>
            <w:shd w:val="clear" w:color="auto" w:fill="F2F2F2"/>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Impacto de la fatiga en los accidentes de tránsito.</w:t>
            </w:r>
          </w:p>
          <w:p w:rsidR="00E02CE9" w:rsidRDefault="008972AB">
            <w:pPr>
              <w:spacing w:before="240" w:after="160"/>
              <w:rPr>
                <w:color w:val="333333"/>
                <w:sz w:val="20"/>
                <w:szCs w:val="20"/>
              </w:rPr>
            </w:pPr>
            <w:r>
              <w:rPr>
                <w:color w:val="333333"/>
                <w:sz w:val="20"/>
                <w:szCs w:val="20"/>
              </w:rPr>
              <w:t>- Estrategias empresariales para reducir la fatiga en conductores.</w:t>
            </w:r>
          </w:p>
          <w:p w:rsidR="00E02CE9" w:rsidRDefault="008972AB">
            <w:pPr>
              <w:spacing w:before="240" w:after="160"/>
              <w:rPr>
                <w:color w:val="333333"/>
                <w:sz w:val="20"/>
                <w:szCs w:val="20"/>
              </w:rPr>
            </w:pPr>
            <w:r>
              <w:rPr>
                <w:color w:val="333333"/>
                <w:sz w:val="20"/>
                <w:szCs w:val="20"/>
              </w:rPr>
              <w:t>- Consecuencias del sueño insuficiente en la seguridad vial.</w:t>
            </w:r>
          </w:p>
          <w:p w:rsidR="00E02CE9" w:rsidRDefault="008972AB">
            <w:pPr>
              <w:spacing w:before="240" w:after="160"/>
              <w:rPr>
                <w:color w:val="333333"/>
                <w:sz w:val="20"/>
                <w:szCs w:val="20"/>
              </w:rPr>
            </w:pPr>
            <w:r>
              <w:rPr>
                <w:color w:val="333333"/>
                <w:sz w:val="20"/>
                <w:szCs w:val="20"/>
              </w:rPr>
              <w:t xml:space="preserve">- Dormir entre </w:t>
            </w:r>
            <w:r>
              <w:rPr>
                <w:b/>
                <w:color w:val="333333"/>
                <w:sz w:val="20"/>
                <w:szCs w:val="20"/>
              </w:rPr>
              <w:t>7 y 8 horas</w:t>
            </w:r>
            <w:r>
              <w:rPr>
                <w:color w:val="333333"/>
                <w:sz w:val="20"/>
                <w:szCs w:val="20"/>
              </w:rPr>
              <w:t xml:space="preserve"> para un mejor desempeño.</w:t>
            </w:r>
          </w:p>
          <w:p w:rsidR="00E02CE9" w:rsidRDefault="008972AB">
            <w:pPr>
              <w:spacing w:before="240" w:after="160"/>
              <w:rPr>
                <w:color w:val="333333"/>
                <w:sz w:val="20"/>
                <w:szCs w:val="20"/>
              </w:rPr>
            </w:pPr>
            <w:r>
              <w:rPr>
                <w:color w:val="333333"/>
                <w:sz w:val="20"/>
                <w:szCs w:val="20"/>
              </w:rPr>
              <w:t>- Evitar cafeína y alcohol antes de dormir.</w:t>
            </w:r>
          </w:p>
          <w:p w:rsidR="00E02CE9" w:rsidRDefault="008972AB">
            <w:pPr>
              <w:spacing w:before="240" w:after="160"/>
              <w:rPr>
                <w:color w:val="333333"/>
                <w:sz w:val="20"/>
                <w:szCs w:val="20"/>
              </w:rPr>
            </w:pPr>
            <w:r>
              <w:rPr>
                <w:color w:val="333333"/>
                <w:sz w:val="20"/>
                <w:szCs w:val="20"/>
              </w:rPr>
              <w:t xml:space="preserve">- Hacer </w:t>
            </w:r>
            <w:r>
              <w:rPr>
                <w:b/>
                <w:color w:val="333333"/>
                <w:sz w:val="20"/>
                <w:szCs w:val="20"/>
              </w:rPr>
              <w:t>pausas de 15 minutos</w:t>
            </w:r>
            <w:r>
              <w:rPr>
                <w:color w:val="333333"/>
                <w:sz w:val="20"/>
                <w:szCs w:val="20"/>
              </w:rPr>
              <w:t xml:space="preserve"> cada 2 horas de conducción.</w:t>
            </w:r>
          </w:p>
          <w:p w:rsidR="00E02CE9" w:rsidRDefault="008972AB">
            <w:pPr>
              <w:spacing w:before="240" w:after="160"/>
              <w:rPr>
                <w:color w:val="333333"/>
                <w:sz w:val="20"/>
                <w:szCs w:val="20"/>
              </w:rPr>
            </w:pPr>
            <w:r>
              <w:rPr>
                <w:color w:val="333333"/>
                <w:sz w:val="20"/>
                <w:szCs w:val="20"/>
              </w:rPr>
              <w:t xml:space="preserve">- No manejar más de </w:t>
            </w:r>
            <w:r>
              <w:rPr>
                <w:b/>
                <w:color w:val="333333"/>
                <w:sz w:val="20"/>
                <w:szCs w:val="20"/>
              </w:rPr>
              <w:t>8 horas al día</w:t>
            </w:r>
            <w:r>
              <w:rPr>
                <w:color w:val="333333"/>
                <w:sz w:val="20"/>
                <w:szCs w:val="20"/>
              </w:rPr>
              <w:t>.</w:t>
            </w:r>
          </w:p>
          <w:p w:rsidR="00E02CE9" w:rsidRDefault="008972AB">
            <w:pPr>
              <w:spacing w:before="240" w:after="160"/>
              <w:rPr>
                <w:color w:val="333333"/>
                <w:sz w:val="20"/>
                <w:szCs w:val="20"/>
              </w:rPr>
            </w:pPr>
            <w:r>
              <w:rPr>
                <w:color w:val="333333"/>
                <w:sz w:val="20"/>
                <w:szCs w:val="20"/>
              </w:rPr>
              <w:t>- Mantener buena ventilación en la cabina para evitar somnolencia.</w:t>
            </w:r>
          </w:p>
          <w:p w:rsidR="00E02CE9" w:rsidRDefault="008972AB">
            <w:pPr>
              <w:spacing w:before="240" w:after="160"/>
              <w:rPr>
                <w:color w:val="333333"/>
                <w:sz w:val="20"/>
                <w:szCs w:val="20"/>
              </w:rPr>
            </w:pPr>
            <w:r>
              <w:rPr>
                <w:color w:val="333333"/>
                <w:sz w:val="20"/>
                <w:szCs w:val="20"/>
              </w:rPr>
              <w:t xml:space="preserve">- Evitar turnos mayores a </w:t>
            </w:r>
            <w:r>
              <w:rPr>
                <w:b/>
                <w:color w:val="333333"/>
                <w:sz w:val="20"/>
                <w:szCs w:val="20"/>
              </w:rPr>
              <w:t>10 horas continuas</w:t>
            </w:r>
            <w:r>
              <w:rPr>
                <w:color w:val="333333"/>
                <w:sz w:val="20"/>
                <w:szCs w:val="20"/>
              </w:rPr>
              <w:t>.</w:t>
            </w:r>
          </w:p>
          <w:p w:rsidR="00E02CE9" w:rsidRDefault="008972AB">
            <w:pPr>
              <w:spacing w:before="240" w:after="160"/>
              <w:rPr>
                <w:color w:val="333333"/>
                <w:sz w:val="20"/>
                <w:szCs w:val="20"/>
              </w:rPr>
            </w:pPr>
            <w:r>
              <w:rPr>
                <w:color w:val="333333"/>
                <w:sz w:val="20"/>
                <w:szCs w:val="20"/>
              </w:rPr>
              <w:t xml:space="preserve">- </w:t>
            </w:r>
            <w:r>
              <w:rPr>
                <w:b/>
                <w:color w:val="333333"/>
                <w:sz w:val="20"/>
                <w:szCs w:val="20"/>
              </w:rPr>
              <w:t>4% de los accidentes en TransMilenio</w:t>
            </w:r>
            <w:r>
              <w:rPr>
                <w:color w:val="333333"/>
                <w:sz w:val="20"/>
                <w:szCs w:val="20"/>
              </w:rPr>
              <w:t xml:space="preserve"> están relacionados con fatiga.</w:t>
            </w:r>
          </w:p>
          <w:p w:rsidR="00E02CE9" w:rsidRDefault="008972AB">
            <w:pPr>
              <w:spacing w:before="240" w:after="160"/>
              <w:rPr>
                <w:color w:val="333333"/>
                <w:sz w:val="20"/>
                <w:szCs w:val="20"/>
              </w:rPr>
            </w:pPr>
            <w:r>
              <w:rPr>
                <w:color w:val="333333"/>
                <w:sz w:val="20"/>
                <w:szCs w:val="20"/>
              </w:rPr>
              <w:t xml:space="preserve">- Un microsueño de </w:t>
            </w:r>
            <w:r>
              <w:rPr>
                <w:b/>
                <w:color w:val="333333"/>
                <w:sz w:val="20"/>
                <w:szCs w:val="20"/>
              </w:rPr>
              <w:t>2 segundos a 60 km/h</w:t>
            </w:r>
            <w:r>
              <w:rPr>
                <w:color w:val="333333"/>
                <w:sz w:val="20"/>
                <w:szCs w:val="20"/>
              </w:rPr>
              <w:t xml:space="preserve"> equivale a recorrer </w:t>
            </w:r>
            <w:r>
              <w:rPr>
                <w:b/>
                <w:color w:val="333333"/>
                <w:sz w:val="20"/>
                <w:szCs w:val="20"/>
              </w:rPr>
              <w:t>33 metros sin control</w:t>
            </w:r>
            <w:r>
              <w:rPr>
                <w:color w:val="333333"/>
                <w:sz w:val="20"/>
                <w:szCs w:val="20"/>
              </w:rPr>
              <w:t>.</w:t>
            </w:r>
          </w:p>
          <w:p w:rsidR="00E02CE9" w:rsidRDefault="008972AB">
            <w:pPr>
              <w:spacing w:before="240" w:after="160"/>
              <w:rPr>
                <w:color w:val="333333"/>
                <w:sz w:val="20"/>
                <w:szCs w:val="20"/>
              </w:rPr>
            </w:pPr>
            <w:r>
              <w:rPr>
                <w:color w:val="333333"/>
                <w:sz w:val="20"/>
                <w:szCs w:val="20"/>
              </w:rPr>
              <w:t xml:space="preserve">- </w:t>
            </w:r>
            <w:r>
              <w:rPr>
                <w:b/>
                <w:color w:val="333333"/>
                <w:sz w:val="20"/>
                <w:szCs w:val="20"/>
              </w:rPr>
              <w:t>90% de los siniestros viales</w:t>
            </w:r>
            <w:r>
              <w:rPr>
                <w:color w:val="333333"/>
                <w:sz w:val="20"/>
                <w:szCs w:val="20"/>
              </w:rPr>
              <w:t xml:space="preserve"> están relacionados con </w:t>
            </w:r>
            <w:r>
              <w:rPr>
                <w:b/>
                <w:color w:val="333333"/>
                <w:sz w:val="20"/>
                <w:szCs w:val="20"/>
              </w:rPr>
              <w:t>factores humanos</w:t>
            </w:r>
            <w:r>
              <w:rPr>
                <w:color w:val="333333"/>
                <w:sz w:val="20"/>
                <w:szCs w:val="20"/>
              </w:rPr>
              <w:t>.</w:t>
            </w:r>
          </w:p>
        </w:tc>
      </w:tr>
      <w:tr w:rsidR="00E02CE9">
        <w:trPr>
          <w:trHeight w:val="280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rsidR="00E02CE9" w:rsidRDefault="008972AB">
            <w:pPr>
              <w:spacing w:before="240" w:after="160"/>
              <w:jc w:val="center"/>
              <w:rPr>
                <w:b/>
                <w:i/>
                <w:color w:val="333333"/>
                <w:sz w:val="20"/>
                <w:szCs w:val="20"/>
              </w:rPr>
            </w:pPr>
            <w:r>
              <w:rPr>
                <w:b/>
                <w:i/>
                <w:color w:val="333333"/>
                <w:sz w:val="20"/>
                <w:szCs w:val="20"/>
              </w:rPr>
              <w:t>Cartilla 8 - Efectos de la Velocidad en Siniestros</w:t>
            </w:r>
          </w:p>
        </w:tc>
        <w:tc>
          <w:tcPr>
            <w:tcW w:w="7034" w:type="dxa"/>
            <w:tcBorders>
              <w:top w:val="nil"/>
              <w:left w:val="nil"/>
              <w:bottom w:val="nil"/>
              <w:right w:val="nil"/>
            </w:tcBorders>
            <w:tcMar>
              <w:top w:w="0" w:type="dxa"/>
              <w:left w:w="100" w:type="dxa"/>
              <w:bottom w:w="0" w:type="dxa"/>
              <w:right w:w="100" w:type="dxa"/>
            </w:tcMar>
          </w:tcPr>
          <w:p w:rsidR="00E02CE9" w:rsidRDefault="008972AB">
            <w:pPr>
              <w:spacing w:before="240" w:after="160"/>
              <w:rPr>
                <w:color w:val="333333"/>
                <w:sz w:val="20"/>
                <w:szCs w:val="20"/>
              </w:rPr>
            </w:pPr>
            <w:r>
              <w:rPr>
                <w:color w:val="333333"/>
                <w:sz w:val="20"/>
                <w:szCs w:val="20"/>
              </w:rPr>
              <w:t>- Relación entre la velocidad y la gravedad de los accidentes.</w:t>
            </w:r>
          </w:p>
          <w:p w:rsidR="00E02CE9" w:rsidRDefault="008972AB">
            <w:pPr>
              <w:spacing w:before="240" w:after="160"/>
              <w:rPr>
                <w:color w:val="333333"/>
                <w:sz w:val="20"/>
                <w:szCs w:val="20"/>
              </w:rPr>
            </w:pPr>
            <w:r>
              <w:rPr>
                <w:color w:val="333333"/>
                <w:sz w:val="20"/>
                <w:szCs w:val="20"/>
              </w:rPr>
              <w:t>- Estrategias de gestión de velocidad en empresas.</w:t>
            </w:r>
          </w:p>
          <w:p w:rsidR="00E02CE9" w:rsidRDefault="008972AB">
            <w:pPr>
              <w:spacing w:before="240" w:after="160"/>
              <w:rPr>
                <w:color w:val="333333"/>
                <w:sz w:val="20"/>
                <w:szCs w:val="20"/>
              </w:rPr>
            </w:pPr>
            <w:r>
              <w:rPr>
                <w:color w:val="333333"/>
                <w:sz w:val="20"/>
                <w:szCs w:val="20"/>
              </w:rPr>
              <w:t>- A 50 km/h, un peatón tiene 85% de probabilidad de morir en un accidente, pero a 30 km/h solo 10%.</w:t>
            </w:r>
          </w:p>
          <w:p w:rsidR="00E02CE9" w:rsidRDefault="008972AB">
            <w:pPr>
              <w:spacing w:before="240" w:after="160"/>
              <w:rPr>
                <w:color w:val="333333"/>
                <w:sz w:val="20"/>
                <w:szCs w:val="20"/>
              </w:rPr>
            </w:pPr>
            <w:r>
              <w:rPr>
                <w:color w:val="333333"/>
                <w:sz w:val="20"/>
                <w:szCs w:val="20"/>
              </w:rPr>
              <w:t>- Las empresas que controlan la velocidad reducen costos en seguridad social, seguros y reparaciones.</w:t>
            </w:r>
          </w:p>
        </w:tc>
      </w:tr>
    </w:tbl>
    <w:p w:rsidR="00E02CE9" w:rsidRDefault="00E02CE9">
      <w:pPr>
        <w:rPr>
          <w:color w:val="333333"/>
          <w:sz w:val="24"/>
          <w:szCs w:val="24"/>
          <w:highlight w:val="white"/>
        </w:rPr>
      </w:pPr>
    </w:p>
    <w:p w:rsidR="00E02CE9" w:rsidRDefault="008972AB">
      <w:pPr>
        <w:rPr>
          <w:color w:val="333333"/>
          <w:sz w:val="24"/>
          <w:szCs w:val="24"/>
          <w:highlight w:val="white"/>
        </w:rPr>
      </w:pPr>
      <w:r>
        <w:rPr>
          <w:color w:val="333333"/>
          <w:sz w:val="24"/>
          <w:szCs w:val="24"/>
          <w:highlight w:val="white"/>
        </w:rPr>
        <w:tab/>
        <w:t xml:space="preserve">Cómo se logra evidenciar en el taller tres (3) y siete (7) la presencia de fatiga o cansancio en los conductores representa un gran riesgo para todos los actores viales, es fundamental como se demostrará en el siguiente apartado mantener prácticas que disminuyan riesgos asociado a situaciones de adormecimiento o desmayo, dificultad para calcular distancias, aumento de estrés y pérdida de paciencia en la vía. Igualmente, como se señala en la </w:t>
      </w:r>
      <w:r>
        <w:rPr>
          <w:i/>
          <w:color w:val="333333"/>
          <w:sz w:val="24"/>
          <w:szCs w:val="24"/>
          <w:highlight w:val="white"/>
        </w:rPr>
        <w:t>cartilla de Eco-conducción</w:t>
      </w:r>
      <w:r>
        <w:rPr>
          <w:color w:val="333333"/>
          <w:sz w:val="24"/>
          <w:szCs w:val="24"/>
          <w:highlight w:val="white"/>
        </w:rPr>
        <w:t xml:space="preserve"> el evitar el cansancio a la hora de manejar afecta la eficiencia en el consumo de combustible y la sostenibilidad del transporte. Adoptar hábitos de conducción responsable, como realizar pausas activas, mantener una buena hidratación y asegurar un descanso adecuado, contribuye a una movilidad más segura y eficiente, alineándose con los principios de la eco-conducción (Secretaría Distrital de Movilidad, 2017).</w:t>
      </w:r>
    </w:p>
    <w:p w:rsidR="00E02CE9" w:rsidRDefault="00E02CE9">
      <w:pPr>
        <w:rPr>
          <w:color w:val="333333"/>
          <w:sz w:val="24"/>
          <w:szCs w:val="24"/>
          <w:highlight w:val="white"/>
        </w:rPr>
      </w:pPr>
    </w:p>
    <w:p w:rsidR="00E02CE9" w:rsidRDefault="008972AB">
      <w:pPr>
        <w:pStyle w:val="Ttulo1"/>
        <w:numPr>
          <w:ilvl w:val="1"/>
          <w:numId w:val="8"/>
        </w:numPr>
        <w:spacing w:line="312" w:lineRule="auto"/>
        <w:ind w:left="1434" w:hanging="357"/>
        <w:rPr>
          <w:sz w:val="24"/>
          <w:szCs w:val="24"/>
        </w:rPr>
      </w:pPr>
      <w:r>
        <w:rPr>
          <w:sz w:val="24"/>
          <w:szCs w:val="24"/>
        </w:rPr>
        <w:t xml:space="preserve">Control de la fatiga y el cansancio en los conductores de buses de las terminales de transporte terrestre de Bogotá. </w:t>
      </w:r>
    </w:p>
    <w:p w:rsidR="00E02CE9" w:rsidRDefault="008972AB">
      <w:pPr>
        <w:ind w:firstLine="720"/>
        <w:rPr>
          <w:sz w:val="24"/>
          <w:szCs w:val="24"/>
        </w:rPr>
      </w:pPr>
      <w:r>
        <w:rPr>
          <w:sz w:val="24"/>
          <w:szCs w:val="24"/>
        </w:rPr>
        <w:t xml:space="preserve">A este apartado le corresponde explicar de manera detallada la definición de fatiga, sus causas y consecuencias en la salud mental y física de los conductores, así como, los signos que permiten identificarla y gestionarla, por parte de las empresas como responsables de la contratación y de los conductores quienes son los directamente afectados con este problema teniendo en cuenta las condiciones a las que diariamente se ven expuestos con horarios extendidos de trabajo, situaciones de estrés y cansancio acumulado. </w:t>
      </w:r>
    </w:p>
    <w:p w:rsidR="00E02CE9" w:rsidRDefault="008972AB">
      <w:pPr>
        <w:rPr>
          <w:sz w:val="24"/>
          <w:szCs w:val="24"/>
        </w:rPr>
      </w:pPr>
      <w:r>
        <w:rPr>
          <w:sz w:val="24"/>
          <w:szCs w:val="24"/>
        </w:rPr>
        <w:t>De manera recurrente se suele asociar el cansancio y la fatiga como conceptos similares, sin embargo, desde diferentes posturas, se relaciona a está última con síntomas generales como ansiedad, depresión, dolor generalizado, alteraciones del sueño, la memoria, la concentración, del estado de vigilia y de la capacidad para realizar tareas de manera segura. (ARL SURA, 2017; Infosalus,2021).</w:t>
      </w:r>
    </w:p>
    <w:p w:rsidR="00E02CE9" w:rsidRDefault="008972AB">
      <w:pPr>
        <w:rPr>
          <w:sz w:val="24"/>
          <w:szCs w:val="24"/>
        </w:rPr>
      </w:pPr>
      <w:r>
        <w:rPr>
          <w:sz w:val="24"/>
          <w:szCs w:val="24"/>
        </w:rPr>
        <w:t xml:space="preserve">Según la Secretaría de Movilidad, las causas de la fatiga en los conductores están asociadas principalmente a jornadas de conducción extensas, situaciones de estrés laboral debido a la presión en el cumplimiento de tiempos en las rutas asignadas, escenarios de tráfico, malos hábitos de alimentación, descanso, higiene ocupacional y  descuido en las valoraciones de salud. En este sentido, las precauciones que recomienda la entidad están vinculadas a la importancia de descansar, controlar e identificar las actividades que generan fatiga y realizar una verificación permanente del estado de salud y los exámenes de alcoholimetría (p.6). </w:t>
      </w:r>
    </w:p>
    <w:p w:rsidR="00E02CE9" w:rsidRDefault="008972AB">
      <w:pPr>
        <w:rPr>
          <w:sz w:val="24"/>
          <w:szCs w:val="24"/>
        </w:rPr>
      </w:pPr>
      <w:r>
        <w:rPr>
          <w:sz w:val="24"/>
          <w:szCs w:val="24"/>
        </w:rPr>
        <w:t xml:space="preserve">Como se señala en la cartilla número 7 </w:t>
      </w:r>
      <w:r>
        <w:rPr>
          <w:i/>
          <w:sz w:val="24"/>
          <w:szCs w:val="24"/>
        </w:rPr>
        <w:t xml:space="preserve">“el control de la fatiga en el espacio público” </w:t>
      </w:r>
      <w:r>
        <w:rPr>
          <w:sz w:val="24"/>
          <w:szCs w:val="24"/>
        </w:rPr>
        <w:t>La fatiga al conducir se manifiesta a través de diversas señales físicas y de comportamiento. Según investigaciones de Sura, una persona que se mantiene alerta parpadea de manera rápida, con cierres de ojos inferiores a un segundo, permanece consciente de su entorno, coordina adecuadamente sus movimientos corporales y mantiene una actitud conversadora y activa. En contraste, cuando una persona se encuentra fatigada, tiende a realizar parpadeos largos (de dos segundos o más), sostiene la mirada fija, disminuye la interacción con el entorno, reduce su actividad física y puede experimentar episodios breves de sueño conocidos como microsueños (Sura, 2017).</w:t>
      </w:r>
    </w:p>
    <w:p w:rsidR="00E02CE9" w:rsidRDefault="008972AB">
      <w:pPr>
        <w:rPr>
          <w:sz w:val="24"/>
          <w:szCs w:val="24"/>
        </w:rPr>
      </w:pPr>
      <w:r>
        <w:rPr>
          <w:sz w:val="24"/>
          <w:szCs w:val="24"/>
        </w:rPr>
        <w:t>Es por ello, que detectar estos síntomas resulta fundamental, ya que el cansancio compromete las capacidades sensoriales, la percepción, la coordinación motriz y los procesos de razonamiento, afectando gravemente la capacidad para reaccionar ante los riesgos en la vía (Sura).</w:t>
      </w:r>
    </w:p>
    <w:p w:rsidR="00E02CE9" w:rsidRDefault="008972AB">
      <w:pPr>
        <w:rPr>
          <w:sz w:val="24"/>
          <w:szCs w:val="24"/>
        </w:rPr>
      </w:pPr>
      <w:r>
        <w:rPr>
          <w:sz w:val="24"/>
          <w:szCs w:val="24"/>
        </w:rPr>
        <w:t>Igualmente, dentro de las recomendaciones que se plantean al interior de la plantilla se señala que para la debida gestión de la fatiga, para los conductores es importante realizar pausas de al menos quince minutos cada dos horas de trayecto, con el fin de descansar y recuperar energía, así como, mantener un ambiente agradable dentro del vehículo que ayude a evitar el cansancio; para ello, se sugiere ventilar la cabina periódicamente, permitiendo el ingreso de aire fresco del exterior.</w:t>
      </w:r>
    </w:p>
    <w:p w:rsidR="00E02CE9" w:rsidRDefault="008972AB">
      <w:pPr>
        <w:spacing w:before="240" w:after="240"/>
        <w:rPr>
          <w:sz w:val="24"/>
          <w:szCs w:val="24"/>
        </w:rPr>
      </w:pPr>
      <w:r>
        <w:rPr>
          <w:sz w:val="24"/>
          <w:szCs w:val="24"/>
        </w:rPr>
        <w:t xml:space="preserve">Así mismo, en situaciones donde se perciban signos de cansancio, es fundamental no intentar compensar el agotamiento excediendo los límites de velocidad, es necesario mantenerse atento a la conducta de otros vehículos, en particular a quienes invaden bermas o carriles de forma involuntaria, ya que estos comportamientos pueden ser señales de fatiga en otros conductores. </w:t>
      </w:r>
    </w:p>
    <w:p w:rsidR="00E02CE9" w:rsidRDefault="008972AB">
      <w:pPr>
        <w:spacing w:before="240" w:after="240"/>
        <w:rPr>
          <w:sz w:val="24"/>
          <w:szCs w:val="24"/>
        </w:rPr>
      </w:pPr>
      <w:r>
        <w:rPr>
          <w:sz w:val="24"/>
          <w:szCs w:val="24"/>
        </w:rPr>
        <w:t>Como última recomendación, se señala que una buena preparación para el viaje implica alistar el vehículo el día anterior y asegurar un descanso adecuado, procurando dormir entre siete y ocho horas por noche. En este sentido, para favorecer un sueño reparador, se debe evitar el consumo de bebidas con cafeína al menos seis horas antes de dormir, así como abstenerse de consumir alcohol y tabaco en ese mismo periodo. (p.10)</w:t>
      </w:r>
    </w:p>
    <w:p w:rsidR="00E02CE9" w:rsidRDefault="008972AB">
      <w:pPr>
        <w:spacing w:before="240" w:after="240"/>
        <w:rPr>
          <w:b/>
          <w:sz w:val="24"/>
          <w:szCs w:val="24"/>
        </w:rPr>
      </w:pPr>
      <w:r>
        <w:rPr>
          <w:sz w:val="24"/>
          <w:szCs w:val="24"/>
        </w:rPr>
        <w:t>A partir de lo expuesto, se puede concluir que factores como los extensos horarios de trabajo, la monotonía de las rutas, la falta de pausas adecuadas para el descanso y la repetición constante de movimientos mecánicos y rutinarios incrementan significativamente el riesgo de fatiga y somnolencia en los conductores de transporte intermunicipal. Esta condición no solo compromete la seguridad del propio operador, sino que también pone en riesgo la vida de los pasajeros y demás actores viales. En este sentido, se reitera la necesidad y pertinencia de fortalecer iniciativas como la propuesta, orientadas a la prevención y gestión de la fatiga en las terminales de transporte terrestre automotor del Distrito Capital.</w:t>
      </w:r>
    </w:p>
    <w:p w:rsidR="00E02CE9" w:rsidRDefault="008972AB">
      <w:pPr>
        <w:numPr>
          <w:ilvl w:val="1"/>
          <w:numId w:val="8"/>
        </w:numPr>
        <w:rPr>
          <w:sz w:val="24"/>
          <w:szCs w:val="24"/>
        </w:rPr>
      </w:pPr>
      <w:r>
        <w:rPr>
          <w:b/>
          <w:sz w:val="24"/>
          <w:szCs w:val="24"/>
        </w:rPr>
        <w:t xml:space="preserve">Estadísticas de siniestros viales de buses en carretera </w:t>
      </w:r>
    </w:p>
    <w:p w:rsidR="00E02CE9" w:rsidRDefault="008972AB">
      <w:pPr>
        <w:rPr>
          <w:sz w:val="24"/>
          <w:szCs w:val="24"/>
        </w:rPr>
      </w:pPr>
      <w:r>
        <w:rPr>
          <w:sz w:val="24"/>
          <w:szCs w:val="24"/>
        </w:rPr>
        <w:t xml:space="preserve">El transporte intermunicipal en Bogota y su área metropolitana constituye una parte fundamental de la movilidad regional, conectando a miles de personas diariamente con municipios como Soacha, Chía, Zipaquira, Facatativa, entre otros. Sin embargo, este servicio también enfrenta desafíos en materia de seguridad. </w:t>
      </w:r>
    </w:p>
    <w:p w:rsidR="00E02CE9" w:rsidRDefault="008972AB">
      <w:pPr>
        <w:rPr>
          <w:b/>
          <w:sz w:val="24"/>
          <w:szCs w:val="24"/>
        </w:rPr>
      </w:pPr>
      <w:r>
        <w:rPr>
          <w:b/>
          <w:sz w:val="24"/>
          <w:szCs w:val="24"/>
        </w:rPr>
        <w:t xml:space="preserve">Análisis de causas de siniestros </w:t>
      </w:r>
    </w:p>
    <w:p w:rsidR="00E02CE9" w:rsidRDefault="008972AB">
      <w:pPr>
        <w:rPr>
          <w:sz w:val="24"/>
          <w:szCs w:val="24"/>
        </w:rPr>
      </w:pPr>
      <w:r>
        <w:rPr>
          <w:sz w:val="24"/>
          <w:szCs w:val="24"/>
        </w:rPr>
        <w:t xml:space="preserve">Según el Observatorio Nacional de Seguridad Vial y reportes de Secretaria de Movilidad de Bogotá, las principales causas de siniestros en este tipo de transporte son: </w:t>
      </w:r>
    </w:p>
    <w:p w:rsidR="00E02CE9" w:rsidRDefault="008972AB">
      <w:pPr>
        <w:numPr>
          <w:ilvl w:val="0"/>
          <w:numId w:val="5"/>
        </w:numPr>
        <w:spacing w:after="0"/>
        <w:rPr>
          <w:sz w:val="24"/>
          <w:szCs w:val="24"/>
        </w:rPr>
      </w:pPr>
      <w:r>
        <w:rPr>
          <w:b/>
          <w:sz w:val="24"/>
          <w:szCs w:val="24"/>
        </w:rPr>
        <w:t>Exceso de velocidad</w:t>
      </w:r>
      <w:r>
        <w:rPr>
          <w:sz w:val="24"/>
          <w:szCs w:val="24"/>
        </w:rPr>
        <w:t xml:space="preserve">: especialmente en corredores como la Autopista Norte y la calle 80. </w:t>
      </w:r>
    </w:p>
    <w:p w:rsidR="00E02CE9" w:rsidRDefault="008972AB">
      <w:pPr>
        <w:numPr>
          <w:ilvl w:val="0"/>
          <w:numId w:val="5"/>
        </w:numPr>
        <w:spacing w:after="0"/>
        <w:rPr>
          <w:sz w:val="24"/>
          <w:szCs w:val="24"/>
        </w:rPr>
      </w:pPr>
      <w:r>
        <w:rPr>
          <w:b/>
          <w:sz w:val="24"/>
          <w:szCs w:val="24"/>
        </w:rPr>
        <w:t>Fatiga y canción de los conductores</w:t>
      </w:r>
      <w:r>
        <w:rPr>
          <w:sz w:val="24"/>
          <w:szCs w:val="24"/>
        </w:rPr>
        <w:t>: el 65% de los conductores en rutas aledañas a Bogotá trabajan más de 12 horas diarias (encuesta sector de Transporte, 2023). Turnos nocturnos: la falta de descanso en horarios biológicamente críticos (12:00 am. - 5:00 am) aumentan el riesgo de microsueños.</w:t>
      </w:r>
    </w:p>
    <w:p w:rsidR="00E02CE9" w:rsidRDefault="008972AB">
      <w:pPr>
        <w:numPr>
          <w:ilvl w:val="0"/>
          <w:numId w:val="5"/>
        </w:numPr>
        <w:spacing w:after="0"/>
        <w:rPr>
          <w:sz w:val="24"/>
          <w:szCs w:val="24"/>
        </w:rPr>
      </w:pPr>
      <w:r>
        <w:rPr>
          <w:b/>
          <w:sz w:val="24"/>
          <w:szCs w:val="24"/>
        </w:rPr>
        <w:t>Condiciones climáticas adversas</w:t>
      </w:r>
      <w:r>
        <w:rPr>
          <w:sz w:val="24"/>
          <w:szCs w:val="24"/>
        </w:rPr>
        <w:t xml:space="preserve">: lluvias frecuentes afectan la visibilidad y adherencia del pavimento. </w:t>
      </w:r>
    </w:p>
    <w:p w:rsidR="00E02CE9" w:rsidRDefault="008972AB">
      <w:pPr>
        <w:numPr>
          <w:ilvl w:val="0"/>
          <w:numId w:val="5"/>
        </w:numPr>
        <w:spacing w:after="0"/>
        <w:rPr>
          <w:sz w:val="24"/>
          <w:szCs w:val="24"/>
        </w:rPr>
      </w:pPr>
      <w:r>
        <w:rPr>
          <w:b/>
          <w:sz w:val="24"/>
          <w:szCs w:val="24"/>
        </w:rPr>
        <w:t>Mal estado de las vías</w:t>
      </w:r>
      <w:r>
        <w:rPr>
          <w:sz w:val="24"/>
          <w:szCs w:val="24"/>
        </w:rPr>
        <w:t xml:space="preserve">: huecos o señalización deficiente en zonas rurales o de alto tráfico. </w:t>
      </w:r>
    </w:p>
    <w:p w:rsidR="00E02CE9" w:rsidRDefault="008972AB">
      <w:pPr>
        <w:numPr>
          <w:ilvl w:val="0"/>
          <w:numId w:val="5"/>
        </w:numPr>
        <w:spacing w:after="0"/>
        <w:rPr>
          <w:sz w:val="24"/>
          <w:szCs w:val="24"/>
        </w:rPr>
      </w:pPr>
      <w:r>
        <w:rPr>
          <w:b/>
          <w:sz w:val="24"/>
          <w:szCs w:val="24"/>
        </w:rPr>
        <w:t>Fallas mecánicas</w:t>
      </w:r>
      <w:r>
        <w:rPr>
          <w:sz w:val="24"/>
          <w:szCs w:val="24"/>
        </w:rPr>
        <w:t xml:space="preserve">: buses sin mantenimiento adecuado o con revisiones técnico-mecánicas vencidas.   </w:t>
      </w:r>
    </w:p>
    <w:p w:rsidR="00E02CE9" w:rsidRDefault="00E02CE9">
      <w:pPr>
        <w:spacing w:after="0"/>
        <w:ind w:left="720"/>
        <w:rPr>
          <w:sz w:val="24"/>
          <w:szCs w:val="24"/>
        </w:rPr>
      </w:pPr>
    </w:p>
    <w:p w:rsidR="00E02CE9" w:rsidRDefault="008972AB">
      <w:pPr>
        <w:rPr>
          <w:b/>
          <w:sz w:val="24"/>
          <w:szCs w:val="24"/>
        </w:rPr>
      </w:pPr>
      <w:r>
        <w:rPr>
          <w:b/>
          <w:sz w:val="24"/>
          <w:szCs w:val="24"/>
        </w:rPr>
        <w:t>Cuadro Comparativo  de siniestros de buses intermunicipales (2023 y 2024)</w:t>
      </w:r>
    </w:p>
    <w:tbl>
      <w:tblPr>
        <w:tblStyle w:val="a0"/>
        <w:tblW w:w="66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790"/>
        <w:gridCol w:w="2070"/>
        <w:gridCol w:w="1830"/>
      </w:tblGrid>
      <w:tr w:rsidR="00E02CE9">
        <w:trPr>
          <w:trHeight w:val="285"/>
        </w:trPr>
        <w:tc>
          <w:tcPr>
            <w:tcW w:w="279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b/>
                <w:sz w:val="24"/>
                <w:szCs w:val="24"/>
              </w:rPr>
            </w:pPr>
            <w:r>
              <w:rPr>
                <w:b/>
                <w:sz w:val="24"/>
                <w:szCs w:val="24"/>
              </w:rPr>
              <w:t>Categoría</w:t>
            </w:r>
          </w:p>
        </w:tc>
        <w:tc>
          <w:tcPr>
            <w:tcW w:w="207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b/>
                <w:sz w:val="24"/>
                <w:szCs w:val="24"/>
              </w:rPr>
            </w:pPr>
            <w:r>
              <w:rPr>
                <w:b/>
                <w:sz w:val="24"/>
                <w:szCs w:val="24"/>
              </w:rPr>
              <w:t>2023</w:t>
            </w:r>
          </w:p>
        </w:tc>
        <w:tc>
          <w:tcPr>
            <w:tcW w:w="183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b/>
                <w:sz w:val="24"/>
                <w:szCs w:val="24"/>
              </w:rPr>
            </w:pPr>
            <w:r>
              <w:rPr>
                <w:b/>
                <w:sz w:val="24"/>
                <w:szCs w:val="24"/>
              </w:rPr>
              <w:t>2024 (enero-marzo)</w:t>
            </w:r>
          </w:p>
        </w:tc>
      </w:tr>
      <w:tr w:rsidR="00E02CE9">
        <w:trPr>
          <w:trHeight w:val="82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 xml:space="preserve">Total de siniestro Bogotá  </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200</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45</w:t>
            </w:r>
          </w:p>
        </w:tc>
      </w:tr>
      <w:tr w:rsidR="00E02CE9">
        <w:trPr>
          <w:trHeight w:val="55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Total de siniestros Cundinamarca</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350</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85</w:t>
            </w:r>
          </w:p>
        </w:tc>
      </w:tr>
      <w:tr w:rsidR="00E02CE9">
        <w:trPr>
          <w:trHeight w:val="28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Víctimas fatales</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22</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4</w:t>
            </w:r>
          </w:p>
        </w:tc>
      </w:tr>
      <w:tr w:rsidR="00E02CE9">
        <w:trPr>
          <w:trHeight w:val="55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Causas más comunes</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Velocidad, fatiga, fallas</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Velocidad, fatiga, fallas</w:t>
            </w:r>
          </w:p>
        </w:tc>
      </w:tr>
      <w:tr w:rsidR="00E02CE9">
        <w:trPr>
          <w:trHeight w:val="55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Corredores críticos</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Autopista Sur, Norte, Calle 80</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pacing w:before="240" w:after="0"/>
              <w:jc w:val="center"/>
              <w:rPr>
                <w:sz w:val="24"/>
                <w:szCs w:val="24"/>
              </w:rPr>
            </w:pPr>
            <w:r>
              <w:rPr>
                <w:sz w:val="24"/>
                <w:szCs w:val="24"/>
              </w:rPr>
              <w:t>Autopista Sur, Norte, Calle 80</w:t>
            </w:r>
          </w:p>
        </w:tc>
      </w:tr>
    </w:tbl>
    <w:p w:rsidR="00E02CE9" w:rsidRDefault="008972AB">
      <w:pPr>
        <w:rPr>
          <w:sz w:val="24"/>
          <w:szCs w:val="24"/>
        </w:rPr>
      </w:pPr>
      <w:r>
        <w:rPr>
          <w:sz w:val="24"/>
          <w:szCs w:val="24"/>
        </w:rPr>
        <w:t xml:space="preserve">Elaboración propia </w:t>
      </w:r>
    </w:p>
    <w:p w:rsidR="00E02CE9" w:rsidRDefault="00E02CE9">
      <w:pPr>
        <w:rPr>
          <w:sz w:val="24"/>
          <w:szCs w:val="24"/>
        </w:rPr>
      </w:pPr>
    </w:p>
    <w:p w:rsidR="00E02CE9" w:rsidRDefault="008972AB">
      <w:pPr>
        <w:rPr>
          <w:sz w:val="24"/>
          <w:szCs w:val="24"/>
        </w:rPr>
      </w:pPr>
      <w:r>
        <w:rPr>
          <w:sz w:val="24"/>
          <w:szCs w:val="24"/>
        </w:rPr>
        <w:t xml:space="preserve">Durante el año 2023, se registraron aproximadamente 200 siniestros viales en los que estuvieron involucrados buses intermunicipales en Bogotá. En el departamento de Cundinamarca, esta cifra fue la más elevada, alcanzando cerca de 350 siniestros en vías que conectan municipios cercanos con la capital. Para el primer trimestre de 2024, se observa una pequeña reducción en el número de siniestros en comparación con el mismo periodo del año anterior. Bogotá reportó 45 siniestros, mientras que en Cundinamarca se registraron 85 lo que representa una disminución estimada del 5% y 3% respectivamente. </w:t>
      </w:r>
    </w:p>
    <w:p w:rsidR="00E02CE9" w:rsidRDefault="008972AB">
      <w:pPr>
        <w:rPr>
          <w:sz w:val="24"/>
          <w:szCs w:val="24"/>
        </w:rPr>
      </w:pPr>
      <w:r>
        <w:rPr>
          <w:sz w:val="24"/>
          <w:szCs w:val="24"/>
        </w:rPr>
        <w:t>Entre las causas más frecuentes de estos incidentes se destacan el exceso de velocidad, la fatiga del conductor, fallas mecánicas y las condiciones climáticas adversas. Los corredores viales con mayor incidencia son la Autopista Sur, Autopista Norte, Calle 80 y la salida hacia Soacha. En cuanto a las consecuencias, si bien el número de víctimas fatales es bajo comparado con otros actores viales como motocicletas, en 2023 se registraron 22 fallecimientos en siniestros que involucran buses intermunicipales en la región Bogotá-Cundinamarca. En los primeros tres meses de 2024 la cifra asciende a 4 víctimas fatales, manteniéndose en niveles similares.</w:t>
      </w:r>
    </w:p>
    <w:p w:rsidR="00E02CE9" w:rsidRDefault="008972AB">
      <w:pPr>
        <w:rPr>
          <w:sz w:val="24"/>
          <w:szCs w:val="24"/>
        </w:rPr>
      </w:pPr>
      <w:r>
        <w:rPr>
          <w:sz w:val="24"/>
          <w:szCs w:val="24"/>
        </w:rPr>
        <w:t xml:space="preserve">Este comportamiento muestra un leve avance en materia de seguridad vial, aunque persiste la necesidad de reforzar controles, capacitaciones y un monitoreo constante de flotas intermunicipales. Además los municipios aledaños a Bogotá, concentran un alto flujo de buses intermunicipales debido a la movilidad laboral, estudiantil y comercial. Estas zonas registran siniestros viales frecuentes por factores como congestión, condiciones climáticas y fallas humanas.  </w:t>
      </w:r>
    </w:p>
    <w:p w:rsidR="00E02CE9" w:rsidRDefault="008972AB">
      <w:pPr>
        <w:shd w:val="clear" w:color="auto" w:fill="FFFFFF"/>
        <w:spacing w:after="0"/>
        <w:rPr>
          <w:sz w:val="24"/>
          <w:szCs w:val="24"/>
        </w:rPr>
      </w:pPr>
      <w:r>
        <w:rPr>
          <w:sz w:val="24"/>
          <w:szCs w:val="24"/>
          <w:highlight w:val="white"/>
        </w:rPr>
        <w:t xml:space="preserve">Agencia Nacional de Seguridad Vial (ANSV). (s.f.). </w:t>
      </w:r>
      <w:r>
        <w:rPr>
          <w:i/>
          <w:sz w:val="24"/>
          <w:szCs w:val="24"/>
          <w:highlight w:val="white"/>
        </w:rPr>
        <w:t>Histórico de víctimas</w:t>
      </w:r>
      <w:r>
        <w:rPr>
          <w:sz w:val="24"/>
          <w:szCs w:val="24"/>
          <w:highlight w:val="white"/>
        </w:rPr>
        <w:t xml:space="preserve">. Observatorio de Seguridad Vial. Gobierno de Colombia. Recuperado el [fecha de consulta], de </w:t>
      </w:r>
      <w:hyperlink r:id="rId18">
        <w:r>
          <w:rPr>
            <w:sz w:val="24"/>
            <w:szCs w:val="24"/>
            <w:highlight w:val="white"/>
          </w:rPr>
          <w:t>https://ansv.gov.co/es/observatorio/estad%C3%ADsticas/historico-victimas</w:t>
        </w:r>
      </w:hyperlink>
      <w:r>
        <w:rPr>
          <w:sz w:val="24"/>
          <w:szCs w:val="24"/>
        </w:rPr>
        <w:t>.</w:t>
      </w:r>
    </w:p>
    <w:p w:rsidR="00E02CE9" w:rsidRDefault="00E02CE9">
      <w:pPr>
        <w:shd w:val="clear" w:color="auto" w:fill="FFFFFF"/>
        <w:spacing w:after="0"/>
        <w:rPr>
          <w:sz w:val="24"/>
          <w:szCs w:val="24"/>
        </w:rPr>
      </w:pPr>
    </w:p>
    <w:p w:rsidR="00E02CE9" w:rsidRDefault="008972AB">
      <w:pPr>
        <w:shd w:val="clear" w:color="auto" w:fill="FFFFFF"/>
        <w:spacing w:after="0"/>
        <w:rPr>
          <w:sz w:val="24"/>
          <w:szCs w:val="24"/>
        </w:rPr>
      </w:pPr>
      <w:r>
        <w:rPr>
          <w:sz w:val="24"/>
          <w:szCs w:val="24"/>
        </w:rPr>
        <w:t xml:space="preserve">Según los datos de la Secretaría de Movilidad de Bogotá y la ANSV, los municipios con más accidentes de buses intermunicipales son:    </w:t>
      </w:r>
    </w:p>
    <w:p w:rsidR="00E02CE9" w:rsidRDefault="00E02CE9">
      <w:pPr>
        <w:shd w:val="clear" w:color="auto" w:fill="FFFFFF"/>
        <w:spacing w:after="0"/>
        <w:rPr>
          <w:sz w:val="24"/>
          <w:szCs w:val="24"/>
        </w:rPr>
      </w:pPr>
    </w:p>
    <w:p w:rsidR="00E02CE9" w:rsidRDefault="00E02CE9">
      <w:pPr>
        <w:shd w:val="clear" w:color="auto" w:fill="FFFFFF"/>
        <w:spacing w:after="0"/>
        <w:rPr>
          <w:sz w:val="24"/>
          <w:szCs w:val="24"/>
        </w:rPr>
      </w:pPr>
    </w:p>
    <w:tbl>
      <w:tblPr>
        <w:tblStyle w:val="a1"/>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190"/>
        <w:gridCol w:w="2265"/>
        <w:gridCol w:w="2100"/>
        <w:gridCol w:w="2340"/>
      </w:tblGrid>
      <w:tr w:rsidR="00E02CE9">
        <w:trPr>
          <w:trHeight w:val="420"/>
        </w:trPr>
        <w:tc>
          <w:tcPr>
            <w:tcW w:w="219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b/>
                <w:sz w:val="24"/>
                <w:szCs w:val="24"/>
              </w:rPr>
            </w:pPr>
            <w:r>
              <w:rPr>
                <w:b/>
                <w:sz w:val="24"/>
                <w:szCs w:val="24"/>
              </w:rPr>
              <w:t>Municipio</w:t>
            </w:r>
          </w:p>
        </w:tc>
        <w:tc>
          <w:tcPr>
            <w:tcW w:w="226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b/>
                <w:sz w:val="24"/>
                <w:szCs w:val="24"/>
              </w:rPr>
            </w:pPr>
            <w:r>
              <w:rPr>
                <w:b/>
                <w:sz w:val="24"/>
                <w:szCs w:val="24"/>
              </w:rPr>
              <w:t>Ruta principal</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b/>
                <w:sz w:val="24"/>
                <w:szCs w:val="24"/>
              </w:rPr>
            </w:pPr>
            <w:r>
              <w:rPr>
                <w:b/>
                <w:sz w:val="24"/>
                <w:szCs w:val="24"/>
              </w:rPr>
              <w:t xml:space="preserve">% de siniestros </w:t>
            </w:r>
          </w:p>
        </w:tc>
        <w:tc>
          <w:tcPr>
            <w:tcW w:w="234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b/>
                <w:sz w:val="24"/>
                <w:szCs w:val="24"/>
              </w:rPr>
            </w:pPr>
            <w:r>
              <w:rPr>
                <w:b/>
                <w:sz w:val="24"/>
                <w:szCs w:val="24"/>
              </w:rPr>
              <w:t>Causas comunes</w:t>
            </w:r>
          </w:p>
        </w:tc>
      </w:tr>
      <w:tr w:rsidR="00E02CE9">
        <w:trPr>
          <w:trHeight w:val="79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Soacha</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Autopista sur</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23%</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Exceso de velocidad</w:t>
            </w:r>
          </w:p>
          <w:p w:rsidR="00E02CE9" w:rsidRDefault="008972AB">
            <w:pPr>
              <w:shd w:val="clear" w:color="auto" w:fill="FFFFFF"/>
              <w:spacing w:before="240" w:after="0"/>
              <w:rPr>
                <w:sz w:val="24"/>
                <w:szCs w:val="24"/>
              </w:rPr>
            </w:pPr>
            <w:r>
              <w:rPr>
                <w:sz w:val="24"/>
                <w:szCs w:val="24"/>
              </w:rPr>
              <w:t>Invasión de carril</w:t>
            </w:r>
          </w:p>
        </w:tc>
      </w:tr>
      <w:tr w:rsidR="00E02CE9">
        <w:trPr>
          <w:trHeight w:val="79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 xml:space="preserve">Facatativá </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Calle 13</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15%</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Choques laterales</w:t>
            </w:r>
          </w:p>
          <w:p w:rsidR="00E02CE9" w:rsidRDefault="008972AB">
            <w:pPr>
              <w:shd w:val="clear" w:color="auto" w:fill="FFFFFF"/>
              <w:spacing w:before="240" w:after="0"/>
              <w:rPr>
                <w:sz w:val="24"/>
                <w:szCs w:val="24"/>
              </w:rPr>
            </w:pPr>
            <w:r>
              <w:rPr>
                <w:sz w:val="24"/>
                <w:szCs w:val="24"/>
              </w:rPr>
              <w:t xml:space="preserve">Motocicletas  </w:t>
            </w:r>
          </w:p>
        </w:tc>
      </w:tr>
      <w:tr w:rsidR="00E02CE9">
        <w:trPr>
          <w:trHeight w:val="55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Mosquera</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Vía Bogotá - Facatativá</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12%</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Nieblas y cuervas peligrosas</w:t>
            </w:r>
          </w:p>
        </w:tc>
      </w:tr>
      <w:tr w:rsidR="00E02CE9">
        <w:trPr>
          <w:trHeight w:val="34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Funza</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 xml:space="preserve">Bogota - Funza </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10%</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Fatiga de conductores</w:t>
            </w:r>
          </w:p>
        </w:tc>
      </w:tr>
      <w:tr w:rsidR="00E02CE9">
        <w:trPr>
          <w:trHeight w:val="630"/>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Girardot</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Vía Bogotá – Girardot</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8%</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rsidR="00E02CE9" w:rsidRDefault="008972AB">
            <w:pPr>
              <w:shd w:val="clear" w:color="auto" w:fill="FFFFFF"/>
              <w:spacing w:before="240" w:after="0"/>
              <w:rPr>
                <w:sz w:val="24"/>
                <w:szCs w:val="24"/>
              </w:rPr>
            </w:pPr>
            <w:r>
              <w:rPr>
                <w:sz w:val="24"/>
                <w:szCs w:val="24"/>
              </w:rPr>
              <w:t>Peatones cruzando indebidamente</w:t>
            </w:r>
          </w:p>
        </w:tc>
      </w:tr>
    </w:tbl>
    <w:p w:rsidR="00E02CE9" w:rsidRDefault="00E02CE9">
      <w:pPr>
        <w:shd w:val="clear" w:color="auto" w:fill="FFFFFF"/>
        <w:spacing w:after="0"/>
        <w:rPr>
          <w:sz w:val="24"/>
          <w:szCs w:val="24"/>
        </w:rPr>
      </w:pPr>
    </w:p>
    <w:p w:rsidR="00E02CE9" w:rsidRDefault="008972AB">
      <w:pPr>
        <w:shd w:val="clear" w:color="auto" w:fill="FFFFFF"/>
        <w:spacing w:after="0"/>
        <w:rPr>
          <w:sz w:val="24"/>
          <w:szCs w:val="24"/>
        </w:rPr>
      </w:pPr>
      <w:r>
        <w:rPr>
          <w:b/>
          <w:sz w:val="24"/>
          <w:szCs w:val="24"/>
        </w:rPr>
        <w:t>Fuente</w:t>
      </w:r>
      <w:r>
        <w:rPr>
          <w:sz w:val="24"/>
          <w:szCs w:val="24"/>
        </w:rPr>
        <w:t>: ANSV (2023), Policía de Carreteras.</w:t>
      </w:r>
    </w:p>
    <w:p w:rsidR="00E02CE9" w:rsidRDefault="00E02CE9">
      <w:pPr>
        <w:spacing w:after="0"/>
        <w:rPr>
          <w:sz w:val="24"/>
          <w:szCs w:val="24"/>
        </w:rPr>
      </w:pPr>
    </w:p>
    <w:p w:rsidR="00E02CE9" w:rsidRDefault="008972AB">
      <w:pPr>
        <w:rPr>
          <w:sz w:val="24"/>
          <w:szCs w:val="24"/>
        </w:rPr>
      </w:pPr>
      <w:r>
        <w:rPr>
          <w:sz w:val="24"/>
          <w:szCs w:val="24"/>
        </w:rPr>
        <w:t xml:space="preserve">Como vemos en el cuadro, Soacha registra el porcentaje más alto de siniestros, con un 23%, concentrados principalmente en la Autopista Sur. Las causas más recurrentes en esta zona son el exceso de velocidad y la invasión de carril, lo que sugiere problemas relacionados con el comportamiento imprudente de los conductores. Le sigue Facatativá, con un 15% de siniestros en la calle 13, donde predomina los choques laterales y la presencia de motocicletas, factores que podrían estar asociados a una alta densidad de tráfico o falta de señalización adecuada.   </w:t>
      </w:r>
    </w:p>
    <w:p w:rsidR="00E02CE9" w:rsidRDefault="008972AB">
      <w:pPr>
        <w:rPr>
          <w:sz w:val="24"/>
          <w:szCs w:val="24"/>
        </w:rPr>
      </w:pPr>
      <w:r>
        <w:rPr>
          <w:sz w:val="24"/>
          <w:szCs w:val="24"/>
        </w:rPr>
        <w:t xml:space="preserve">En Mosquera, la vía Bogotá-Facatativá acumula un 12% de los siniestros, atribuidos principalmente a condiciones ambientales y geométricas de la vía, como nieblas y curvas peligrosas, que aumentan el riesgo de accidentes. Por su parte, Funza reporta un 10% de siniestros en la vía Bogotá-Funza, donde la fatiga de los conductores emerge como una de las causas principales, posiblemente por trayectos largos o horarios de conducción extendidos.     </w:t>
      </w:r>
    </w:p>
    <w:p w:rsidR="00E02CE9" w:rsidRDefault="008972AB">
      <w:pPr>
        <w:rPr>
          <w:sz w:val="24"/>
          <w:szCs w:val="24"/>
        </w:rPr>
      </w:pPr>
      <w:r>
        <w:rPr>
          <w:sz w:val="24"/>
          <w:szCs w:val="24"/>
        </w:rPr>
        <w:t xml:space="preserve">Finalmente, Girardot presenta el menor porcentaje de siniestralidad (8%) en la vía Bogotá-Girardot, siendo la principal causa los peatones que cruzan indebidamente. Esto indica una necesidad de reforzar la educación vial y la implementación de pasos peatones seguros en esta zona. En conjunto, los datos revelan que las rutas conectadas con Bogotá son las más críticas, con causas que varían desde factores humanos hasta condiciones adversas de las vías, lo que demanda estrategias diferentes para reducir la siniestralidad en cada municipio.    </w:t>
      </w:r>
    </w:p>
    <w:p w:rsidR="00E02CE9" w:rsidRDefault="008972AB">
      <w:pPr>
        <w:shd w:val="clear" w:color="auto" w:fill="FFFFFF"/>
        <w:spacing w:after="0"/>
        <w:rPr>
          <w:sz w:val="24"/>
          <w:szCs w:val="24"/>
        </w:rPr>
      </w:pPr>
      <w:r>
        <w:rPr>
          <w:sz w:val="24"/>
          <w:szCs w:val="24"/>
        </w:rPr>
        <w:t xml:space="preserve">Secretaría Distrital de Movilidad. (s.f.). </w:t>
      </w:r>
      <w:r>
        <w:rPr>
          <w:i/>
          <w:sz w:val="24"/>
          <w:szCs w:val="24"/>
        </w:rPr>
        <w:t>Resultados de búsqueda: "buses intermunicipales"</w:t>
      </w:r>
      <w:r>
        <w:rPr>
          <w:sz w:val="24"/>
          <w:szCs w:val="24"/>
        </w:rPr>
        <w:t xml:space="preserve">. Movilidad Bogotá. Recuperado el [fecha de consulta], de </w:t>
      </w:r>
      <w:hyperlink r:id="rId19">
        <w:r>
          <w:rPr>
            <w:sz w:val="24"/>
            <w:szCs w:val="24"/>
          </w:rPr>
          <w:t>https://www.movilidadbogota.gov.co/web/search/node/buses%20intermunicipales?page=1</w:t>
        </w:r>
      </w:hyperlink>
    </w:p>
    <w:p w:rsidR="00E02CE9" w:rsidRDefault="00E02CE9">
      <w:pPr>
        <w:jc w:val="left"/>
        <w:rPr>
          <w:b/>
          <w:sz w:val="24"/>
          <w:szCs w:val="24"/>
        </w:rPr>
      </w:pPr>
    </w:p>
    <w:p w:rsidR="00E02CE9" w:rsidRDefault="008972AB">
      <w:pPr>
        <w:jc w:val="left"/>
        <w:rPr>
          <w:b/>
          <w:sz w:val="24"/>
          <w:szCs w:val="24"/>
        </w:rPr>
      </w:pPr>
      <w:r>
        <w:rPr>
          <w:b/>
          <w:sz w:val="24"/>
          <w:szCs w:val="24"/>
        </w:rPr>
        <w:t xml:space="preserve">Estadísticas de siniestros y noticias en Bogotá. </w:t>
      </w:r>
    </w:p>
    <w:p w:rsidR="00E02CE9" w:rsidRDefault="008972AB">
      <w:pPr>
        <w:spacing w:before="240" w:after="240"/>
        <w:rPr>
          <w:sz w:val="24"/>
          <w:szCs w:val="24"/>
        </w:rPr>
      </w:pPr>
      <w:r>
        <w:rPr>
          <w:sz w:val="24"/>
          <w:szCs w:val="24"/>
          <w:highlight w:val="white"/>
        </w:rPr>
        <w:t>En 2024, se registró un total de</w:t>
      </w:r>
      <w:r>
        <w:rPr>
          <w:b/>
          <w:sz w:val="24"/>
          <w:szCs w:val="24"/>
          <w:highlight w:val="white"/>
        </w:rPr>
        <w:t xml:space="preserve"> </w:t>
      </w:r>
      <w:r>
        <w:rPr>
          <w:sz w:val="24"/>
          <w:szCs w:val="24"/>
        </w:rPr>
        <w:t>12,912 siniestros viales en Bogotá, de los cuales 12,361 dejaron lesionados y 551 resultaron fallecidos. Del total de víctimas mortales (551), el 55% estuvieron relacionadas con choques, mientras que el 38% correspondió a atropellos. La mayor incidencia de estos siniestros fatales ocurrió durante las horas de la tarde-noche y la madrugada, específicamente entre las 15:00 y 18:00 horas y desde las 22:00 hasta las 4:00 horas.</w:t>
      </w:r>
    </w:p>
    <w:p w:rsidR="00E02CE9" w:rsidRDefault="008972AB">
      <w:pPr>
        <w:spacing w:before="240" w:after="240"/>
        <w:rPr>
          <w:sz w:val="24"/>
          <w:szCs w:val="24"/>
        </w:rPr>
      </w:pPr>
      <w:r>
        <w:rPr>
          <w:noProof/>
          <w:sz w:val="24"/>
          <w:szCs w:val="24"/>
          <w:lang w:val="es-419" w:eastAsia="es-419"/>
        </w:rPr>
        <w:drawing>
          <wp:inline distT="114300" distB="114300" distL="114300" distR="114300">
            <wp:extent cx="5561098" cy="1946384"/>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l="28427" t="42969" r="30797" b="31715"/>
                    <a:stretch>
                      <a:fillRect/>
                    </a:stretch>
                  </pic:blipFill>
                  <pic:spPr>
                    <a:xfrm>
                      <a:off x="0" y="0"/>
                      <a:ext cx="5561098" cy="1946384"/>
                    </a:xfrm>
                    <a:prstGeom prst="rect">
                      <a:avLst/>
                    </a:prstGeom>
                    <a:ln/>
                  </pic:spPr>
                </pic:pic>
              </a:graphicData>
            </a:graphic>
          </wp:inline>
        </w:drawing>
      </w:r>
    </w:p>
    <w:p w:rsidR="00E02CE9" w:rsidRDefault="008972AB">
      <w:pPr>
        <w:rPr>
          <w:sz w:val="24"/>
          <w:szCs w:val="24"/>
        </w:rPr>
      </w:pPr>
      <w:r>
        <w:rPr>
          <w:sz w:val="24"/>
          <w:szCs w:val="24"/>
          <w:highlight w:val="white"/>
        </w:rPr>
        <w:t xml:space="preserve">Observatorio de Movilidad de Bogotá. (2025). </w:t>
      </w:r>
      <w:r>
        <w:rPr>
          <w:i/>
          <w:sz w:val="24"/>
          <w:szCs w:val="24"/>
          <w:highlight w:val="white"/>
        </w:rPr>
        <w:t>[Siniestro graves (con lesionados y con fallecidos)]</w:t>
      </w:r>
      <w:r>
        <w:rPr>
          <w:sz w:val="24"/>
          <w:szCs w:val="24"/>
          <w:highlight w:val="white"/>
        </w:rPr>
        <w:t xml:space="preserve"> </w:t>
      </w:r>
    </w:p>
    <w:p w:rsidR="00E02CE9" w:rsidRDefault="00E02CE9">
      <w:pPr>
        <w:rPr>
          <w:sz w:val="24"/>
          <w:szCs w:val="24"/>
        </w:rPr>
      </w:pPr>
    </w:p>
    <w:p w:rsidR="00E02CE9" w:rsidRDefault="008972AB">
      <w:pPr>
        <w:rPr>
          <w:sz w:val="24"/>
          <w:szCs w:val="24"/>
        </w:rPr>
      </w:pPr>
      <w:r>
        <w:rPr>
          <w:sz w:val="24"/>
          <w:szCs w:val="24"/>
        </w:rPr>
        <w:t xml:space="preserve">Lo que observamos en el gráfico es la evolución de los siniestros viales graves, aquellos con lesionados y fallecidos, registrados entre el 2015 al 2024. Los datos muestran fluctuaciones significativas   a lo largo de estos periodos. </w:t>
      </w:r>
    </w:p>
    <w:p w:rsidR="00E02CE9" w:rsidRDefault="008972AB">
      <w:pPr>
        <w:rPr>
          <w:sz w:val="24"/>
          <w:szCs w:val="24"/>
        </w:rPr>
      </w:pPr>
      <w:r>
        <w:rPr>
          <w:sz w:val="24"/>
          <w:szCs w:val="24"/>
        </w:rPr>
        <w:t xml:space="preserve">Entre 2015 y 2018, se observa una tendencia a la baja en el número de siniestros graves. El año 2015 inició con 12.500 casos, seguido de un descanso hasta alcanzar el punto más bajo en el 2018 con 10,926 incidentes. Esta reducción se atribuye a las campañas de seguridad vial, mejoras en la infraestructura y mayor control por parte de las autoridades. Sin embargo, esta tendencia positiva se revirtió abruptamente en 2019, cuando se registró  el pico más alto del periodo con 13,071 siniestros. Este incremento súbito podría relacionarse con un aumento en el parque automotor, relajación de medidas de control en los sistemas de reporte.  </w:t>
      </w:r>
    </w:p>
    <w:p w:rsidR="00E02CE9" w:rsidRDefault="008972AB">
      <w:pPr>
        <w:rPr>
          <w:sz w:val="24"/>
          <w:szCs w:val="24"/>
        </w:rPr>
      </w:pPr>
      <w:r>
        <w:rPr>
          <w:sz w:val="24"/>
          <w:szCs w:val="24"/>
        </w:rPr>
        <w:t xml:space="preserve">En el año 2020 marcó el inicio de un descenso, con 12,871 casos, seguido de una caída drástica en 2021, cuando los siniestros graves se redujeron a 8,936. Esta disminución coincide con los periodos más críticos de la pandemia de covid 19, donde las cuarentenas y restricciones de movilidad generaron una reducción significativa en el tráfico vehicular. A partir de 2022 con el levantamiento de las restricciones, los números comenzaron a subir de nuevo, registrando 11.467 casos ese año, y continuaron su tendencia al alza en 2023 (12.887) y 2024 (12,912).      </w:t>
      </w:r>
    </w:p>
    <w:p w:rsidR="00E02CE9" w:rsidRDefault="008972AB">
      <w:pPr>
        <w:rPr>
          <w:sz w:val="24"/>
          <w:szCs w:val="24"/>
        </w:rPr>
      </w:pPr>
      <w:r>
        <w:rPr>
          <w:sz w:val="24"/>
          <w:szCs w:val="24"/>
        </w:rPr>
        <w:t xml:space="preserve">Estos datos reflejan la influencia de factores externos, como la pandemia, en la siniestralidad vial, pero también se destaca la necesidad de mantener políticas públicas efectivas para prevenir accidentes. Los problemas estructurales, como el exceso de velocidad, el incumplimiento de normas de tránsito, la fatiga y el cansancio o las deficiencias de las vías, para reducir estos indicadores, es fundamental reforzar la educación vial, además reforzar la educación de las pausas activas en los conductores, también promover tecnologías que mejoren la seguridad en las carreteras.       </w:t>
      </w:r>
    </w:p>
    <w:p w:rsidR="00E02CE9" w:rsidRDefault="008972AB">
      <w:pPr>
        <w:spacing w:before="240" w:after="240"/>
        <w:rPr>
          <w:sz w:val="24"/>
          <w:szCs w:val="24"/>
        </w:rPr>
      </w:pPr>
      <w:r>
        <w:rPr>
          <w:sz w:val="24"/>
          <w:szCs w:val="24"/>
        </w:rPr>
        <w:t xml:space="preserve">De los 12.361 siniestros con lesionados, el 69% estuvo relacionado con choques seguido por atropello en un 20%, la ocurrencia de estos lesionados tuvo mayor incidencia en el periodo comprendido entre las 5:00 a las 9:00 y 16:00 a las 20:00. La localidad que registró un mayor número de siniestros con fallecidos y lesionados fueron Kennedy (fallecidos 69, lesionados 1740), Engativá (fallecidos 53, lesionados 1.092), Suba (fallecidos 49, lesionados 1.062).        </w:t>
      </w:r>
    </w:p>
    <w:p w:rsidR="00E02CE9" w:rsidRDefault="008972AB">
      <w:pPr>
        <w:rPr>
          <w:b/>
          <w:sz w:val="24"/>
          <w:szCs w:val="24"/>
        </w:rPr>
      </w:pPr>
      <w:r>
        <w:rPr>
          <w:b/>
          <w:sz w:val="24"/>
          <w:szCs w:val="24"/>
        </w:rPr>
        <w:t>Gráfica 3</w:t>
      </w:r>
    </w:p>
    <w:p w:rsidR="00E02CE9" w:rsidRDefault="008972AB">
      <w:pPr>
        <w:rPr>
          <w:b/>
          <w:sz w:val="24"/>
          <w:szCs w:val="24"/>
        </w:rPr>
      </w:pPr>
      <w:r>
        <w:rPr>
          <w:b/>
          <w:noProof/>
          <w:sz w:val="24"/>
          <w:szCs w:val="24"/>
          <w:lang w:val="es-419" w:eastAsia="es-419"/>
        </w:rPr>
        <w:drawing>
          <wp:inline distT="114300" distB="114300" distL="114300" distR="114300">
            <wp:extent cx="5269155" cy="1741309"/>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l="28765" t="46268" r="31646" b="30393"/>
                    <a:stretch>
                      <a:fillRect/>
                    </a:stretch>
                  </pic:blipFill>
                  <pic:spPr>
                    <a:xfrm>
                      <a:off x="0" y="0"/>
                      <a:ext cx="5269155" cy="1741309"/>
                    </a:xfrm>
                    <a:prstGeom prst="rect">
                      <a:avLst/>
                    </a:prstGeom>
                    <a:ln/>
                  </pic:spPr>
                </pic:pic>
              </a:graphicData>
            </a:graphic>
          </wp:inline>
        </w:drawing>
      </w:r>
    </w:p>
    <w:p w:rsidR="00E02CE9" w:rsidRDefault="008972AB">
      <w:pPr>
        <w:rPr>
          <w:b/>
          <w:sz w:val="24"/>
          <w:szCs w:val="24"/>
        </w:rPr>
      </w:pPr>
      <w:r>
        <w:rPr>
          <w:sz w:val="24"/>
          <w:szCs w:val="24"/>
          <w:highlight w:val="white"/>
        </w:rPr>
        <w:t xml:space="preserve">Observatorio de Movilidad de Bogotá. (2025). </w:t>
      </w:r>
      <w:r>
        <w:rPr>
          <w:i/>
          <w:sz w:val="24"/>
          <w:szCs w:val="24"/>
          <w:highlight w:val="white"/>
        </w:rPr>
        <w:t>[Siniestro con fallecidos]</w:t>
      </w:r>
      <w:r>
        <w:rPr>
          <w:sz w:val="24"/>
          <w:szCs w:val="24"/>
          <w:highlight w:val="white"/>
        </w:rPr>
        <w:t xml:space="preserve"> </w:t>
      </w:r>
    </w:p>
    <w:p w:rsidR="00E02CE9" w:rsidRDefault="008972AB">
      <w:pPr>
        <w:shd w:val="clear" w:color="auto" w:fill="FFFFFF"/>
        <w:spacing w:after="0"/>
        <w:rPr>
          <w:sz w:val="24"/>
          <w:szCs w:val="24"/>
        </w:rPr>
      </w:pPr>
      <w:r>
        <w:rPr>
          <w:sz w:val="24"/>
          <w:szCs w:val="24"/>
        </w:rPr>
        <w:t>La gráfica 3 refleja la evolución anual de fallecidos por siniestros desde 2015 hasta 2024. En 2015 se registraron 517 víctimas mortales, cifra que incrementó a 543 en 2016. Posteriormente, se observó un descenso durante tres años consecutivos: 523</w:t>
      </w:r>
      <w:r>
        <w:rPr>
          <w:b/>
          <w:sz w:val="24"/>
          <w:szCs w:val="24"/>
        </w:rPr>
        <w:t xml:space="preserve"> </w:t>
      </w:r>
      <w:r>
        <w:rPr>
          <w:sz w:val="24"/>
          <w:szCs w:val="24"/>
        </w:rPr>
        <w:t>fallecidos en 2017, 485 en 2018 y 469 en 2019.</w:t>
      </w:r>
    </w:p>
    <w:p w:rsidR="00E02CE9" w:rsidRDefault="00E02CE9">
      <w:pPr>
        <w:shd w:val="clear" w:color="auto" w:fill="FFFFFF"/>
        <w:spacing w:after="0"/>
        <w:rPr>
          <w:sz w:val="24"/>
          <w:szCs w:val="24"/>
        </w:rPr>
      </w:pPr>
    </w:p>
    <w:p w:rsidR="00E02CE9" w:rsidRDefault="008972AB">
      <w:pPr>
        <w:shd w:val="clear" w:color="auto" w:fill="FFFFFF"/>
        <w:spacing w:after="0"/>
        <w:rPr>
          <w:color w:val="404040"/>
          <w:sz w:val="24"/>
          <w:szCs w:val="24"/>
        </w:rPr>
      </w:pPr>
      <w:r>
        <w:rPr>
          <w:sz w:val="24"/>
          <w:szCs w:val="24"/>
        </w:rPr>
        <w:t>El año 2020 marcó un mínimo histórico (356 casos), atribuible a las restricciones por la pandemia. Sin embargo, a partir de 2021 se evidenció una tendencia alcista: 452 fallecidos (2021), 516 (2022), 526 (2023) y un máximo de 551 en 2024, superando incluso los registros iniciales de 2015-2016</w:t>
      </w:r>
      <w:r>
        <w:rPr>
          <w:color w:val="404040"/>
          <w:sz w:val="24"/>
          <w:szCs w:val="24"/>
        </w:rPr>
        <w:t>.</w:t>
      </w:r>
    </w:p>
    <w:p w:rsidR="00E02CE9" w:rsidRDefault="00E02CE9">
      <w:pPr>
        <w:shd w:val="clear" w:color="auto" w:fill="FFFFFF"/>
        <w:spacing w:after="0"/>
        <w:rPr>
          <w:color w:val="404040"/>
          <w:sz w:val="24"/>
          <w:szCs w:val="24"/>
        </w:rPr>
      </w:pPr>
    </w:p>
    <w:p w:rsidR="00E02CE9" w:rsidRDefault="008972AB">
      <w:pPr>
        <w:pStyle w:val="Ttulo1"/>
        <w:numPr>
          <w:ilvl w:val="0"/>
          <w:numId w:val="8"/>
        </w:numPr>
        <w:rPr>
          <w:sz w:val="24"/>
          <w:szCs w:val="24"/>
        </w:rPr>
      </w:pPr>
      <w:r>
        <w:rPr>
          <w:sz w:val="24"/>
          <w:szCs w:val="24"/>
        </w:rPr>
        <w:t>Competencia del Concejo de Bogotá</w:t>
      </w:r>
    </w:p>
    <w:p w:rsidR="00E02CE9" w:rsidRDefault="008972AB">
      <w:pPr>
        <w:spacing w:line="312" w:lineRule="auto"/>
        <w:rPr>
          <w:sz w:val="24"/>
          <w:szCs w:val="24"/>
        </w:rPr>
      </w:pPr>
      <w:r>
        <w:rPr>
          <w:sz w:val="24"/>
          <w:szCs w:val="24"/>
        </w:rPr>
        <w:t>De conformidad con lo establecido por el Decreto 1421 de 1993 —Estatuto Orgánico de Bogotá—, el Concejo de Bogotá es competente para conocer y tramitar la presente iniciativa. Dentro de las atribuciones contempladas en el artículo 12 del Decreto 1421 de 1993 se encuentra la siguiente:</w:t>
      </w:r>
    </w:p>
    <w:p w:rsidR="00E02CE9" w:rsidRDefault="008972AB">
      <w:pPr>
        <w:numPr>
          <w:ilvl w:val="0"/>
          <w:numId w:val="9"/>
        </w:numPr>
        <w:pBdr>
          <w:top w:val="nil"/>
          <w:left w:val="nil"/>
          <w:bottom w:val="nil"/>
          <w:right w:val="nil"/>
          <w:between w:val="nil"/>
        </w:pBdr>
        <w:spacing w:line="312" w:lineRule="auto"/>
        <w:rPr>
          <w:sz w:val="24"/>
          <w:szCs w:val="24"/>
        </w:rPr>
      </w:pPr>
      <w:r>
        <w:rPr>
          <w:sz w:val="24"/>
          <w:szCs w:val="24"/>
        </w:rPr>
        <w:t>Dictar las normas necesarias para garantizar el adecuado cumplimiento de las funciones y la eficiente prestación de los servicios a cargo del Distrito.</w:t>
      </w:r>
    </w:p>
    <w:p w:rsidR="00E02CE9" w:rsidRDefault="008972AB">
      <w:pPr>
        <w:pStyle w:val="Ttulo1"/>
        <w:numPr>
          <w:ilvl w:val="0"/>
          <w:numId w:val="8"/>
        </w:numPr>
        <w:rPr>
          <w:sz w:val="24"/>
          <w:szCs w:val="24"/>
        </w:rPr>
      </w:pPr>
      <w:r>
        <w:rPr>
          <w:sz w:val="24"/>
          <w:szCs w:val="24"/>
        </w:rPr>
        <w:t>Impacto Fiscal</w:t>
      </w:r>
    </w:p>
    <w:p w:rsidR="00E02CE9" w:rsidRDefault="008972AB">
      <w:pPr>
        <w:spacing w:line="312" w:lineRule="auto"/>
        <w:jc w:val="left"/>
        <w:rPr>
          <w:sz w:val="24"/>
          <w:szCs w:val="24"/>
        </w:rPr>
      </w:pPr>
      <w:r>
        <w:rPr>
          <w:sz w:val="24"/>
          <w:szCs w:val="24"/>
        </w:rPr>
        <w:t>La ley orgánica de presupuesto 819 de 2003 establece en su artículo séptimo lo siguiente:</w:t>
      </w:r>
    </w:p>
    <w:p w:rsidR="00E02CE9" w:rsidRDefault="008972AB">
      <w:pPr>
        <w:spacing w:after="0" w:line="312" w:lineRule="auto"/>
        <w:ind w:left="720"/>
        <w:rPr>
          <w:sz w:val="24"/>
          <w:szCs w:val="24"/>
        </w:rPr>
      </w:pPr>
      <w:r>
        <w:rPr>
          <w:b/>
          <w:sz w:val="24"/>
          <w:szCs w:val="24"/>
        </w:rPr>
        <w:t>Artículo 7º</w:t>
      </w:r>
      <w:r>
        <w:rPr>
          <w:sz w:val="24"/>
          <w:szCs w:val="24"/>
        </w:rPr>
        <w:t xml:space="preserve">. </w:t>
      </w:r>
      <w:r>
        <w:rPr>
          <w:b/>
          <w:sz w:val="24"/>
          <w:szCs w:val="24"/>
        </w:rPr>
        <w:t>Análisis del impacto fiscal de las normas.</w:t>
      </w:r>
      <w:r>
        <w:rPr>
          <w:sz w:val="24"/>
          <w:szCs w:val="24"/>
        </w:rPr>
        <w:t xml:space="preserve"> En todo momento, el impacto fiscal de cualquier proyecto de ley, ordenanza o acuerdo, que ordene gasto o que otorgue beneficios tributarios, deberá hacerse explícito y deberá ser compatible con el Marco Fiscal de Mediano Plazo.</w:t>
      </w:r>
    </w:p>
    <w:p w:rsidR="00E02CE9" w:rsidRDefault="008972AB">
      <w:pPr>
        <w:spacing w:line="312" w:lineRule="auto"/>
        <w:ind w:left="720"/>
        <w:rPr>
          <w:sz w:val="24"/>
          <w:szCs w:val="24"/>
        </w:rPr>
      </w:pPr>
      <w:r>
        <w:rPr>
          <w:sz w:val="24"/>
          <w:szCs w:val="24"/>
        </w:rPr>
        <w:t>Para estos propósitos, deberá incluirse expresamente en la exposición de motivos y en las ponencias de trámite respectivas los costos fiscales de la iniciativa y la fuente de ingreso adicional generada para el financiamiento de dicho costo.</w:t>
      </w:r>
    </w:p>
    <w:p w:rsidR="00E02CE9" w:rsidRDefault="008972AB">
      <w:pPr>
        <w:spacing w:line="312" w:lineRule="auto"/>
        <w:rPr>
          <w:sz w:val="24"/>
          <w:szCs w:val="24"/>
        </w:rPr>
      </w:pPr>
      <w:r>
        <w:rPr>
          <w:sz w:val="24"/>
          <w:szCs w:val="24"/>
        </w:rPr>
        <w:t xml:space="preserve">Se considera que el presente proyecto de acuerdo no ordena gastos adicionales para el Distrito ni otorga beneficio tributario alguno. </w:t>
      </w:r>
    </w:p>
    <w:p w:rsidR="00E02CE9" w:rsidRDefault="00E02CE9">
      <w:pPr>
        <w:spacing w:after="0" w:line="240" w:lineRule="auto"/>
        <w:rPr>
          <w:sz w:val="24"/>
          <w:szCs w:val="24"/>
        </w:rPr>
      </w:pPr>
    </w:p>
    <w:p w:rsidR="00E02CE9" w:rsidRDefault="008972AB">
      <w:pPr>
        <w:pStyle w:val="Ttulo1"/>
        <w:numPr>
          <w:ilvl w:val="0"/>
          <w:numId w:val="8"/>
        </w:numPr>
        <w:rPr>
          <w:sz w:val="24"/>
          <w:szCs w:val="24"/>
        </w:rPr>
      </w:pPr>
      <w:r>
        <w:rPr>
          <w:sz w:val="24"/>
          <w:szCs w:val="24"/>
        </w:rPr>
        <w:t>Referencias bibliográficas</w:t>
      </w:r>
    </w:p>
    <w:p w:rsidR="00E02CE9" w:rsidRDefault="008972AB">
      <w:pPr>
        <w:numPr>
          <w:ilvl w:val="0"/>
          <w:numId w:val="10"/>
        </w:numPr>
        <w:spacing w:after="0"/>
        <w:rPr>
          <w:sz w:val="24"/>
          <w:szCs w:val="24"/>
        </w:rPr>
      </w:pPr>
      <w:r>
        <w:rPr>
          <w:sz w:val="24"/>
          <w:szCs w:val="24"/>
        </w:rPr>
        <w:t xml:space="preserve">Alcaldía Mayor de Bogotá. (2023). </w:t>
      </w:r>
      <w:r>
        <w:rPr>
          <w:i/>
          <w:sz w:val="24"/>
          <w:szCs w:val="24"/>
        </w:rPr>
        <w:t>ABC de la Región Metropolitana Bogotá-Cundinamarca</w:t>
      </w:r>
      <w:r>
        <w:rPr>
          <w:sz w:val="24"/>
          <w:szCs w:val="24"/>
        </w:rPr>
        <w:t>. Recuperado de</w:t>
      </w:r>
      <w:hyperlink r:id="rId22">
        <w:r>
          <w:rPr>
            <w:sz w:val="24"/>
            <w:szCs w:val="24"/>
          </w:rPr>
          <w:t xml:space="preserve"> </w:t>
        </w:r>
      </w:hyperlink>
      <w:hyperlink r:id="rId23">
        <w:r>
          <w:rPr>
            <w:color w:val="1155CC"/>
            <w:sz w:val="24"/>
            <w:szCs w:val="24"/>
            <w:u w:val="single"/>
          </w:rPr>
          <w:t>https://bogota.gov.co/mi-ciudad/planeacion/abece-de-la-region-metropolitana-bogota-cundinamarca</w:t>
        </w:r>
        <w:r>
          <w:rPr>
            <w:color w:val="1155CC"/>
            <w:sz w:val="24"/>
            <w:szCs w:val="24"/>
            <w:u w:val="single"/>
          </w:rPr>
          <w:br/>
        </w:r>
      </w:hyperlink>
    </w:p>
    <w:p w:rsidR="00E02CE9" w:rsidRDefault="008972AB">
      <w:pPr>
        <w:numPr>
          <w:ilvl w:val="0"/>
          <w:numId w:val="10"/>
        </w:numPr>
        <w:spacing w:after="0"/>
        <w:rPr>
          <w:sz w:val="24"/>
          <w:szCs w:val="24"/>
        </w:rPr>
      </w:pPr>
      <w:r>
        <w:rPr>
          <w:sz w:val="24"/>
          <w:szCs w:val="24"/>
        </w:rPr>
        <w:t xml:space="preserve">Agencia Nacional de Seguridad Vial - ANSV. (s.f.). </w:t>
      </w:r>
      <w:r>
        <w:rPr>
          <w:i/>
          <w:sz w:val="24"/>
          <w:szCs w:val="24"/>
        </w:rPr>
        <w:t>Histórico de víctimas en siniestros viales</w:t>
      </w:r>
      <w:r>
        <w:rPr>
          <w:sz w:val="24"/>
          <w:szCs w:val="24"/>
        </w:rPr>
        <w:t>. Observatorio Nacional de Seguridad Vial. Gobierno de Colombia. Recuperado el [fecha de consulta], de</w:t>
      </w:r>
      <w:hyperlink r:id="rId24">
        <w:r>
          <w:rPr>
            <w:sz w:val="24"/>
            <w:szCs w:val="24"/>
          </w:rPr>
          <w:t xml:space="preserve"> </w:t>
        </w:r>
      </w:hyperlink>
      <w:hyperlink r:id="rId25">
        <w:r>
          <w:rPr>
            <w:color w:val="1155CC"/>
            <w:sz w:val="24"/>
            <w:szCs w:val="24"/>
            <w:u w:val="single"/>
          </w:rPr>
          <w:t>https://ansv.gov.co/es/observatorio/estad%C3%ADsticas/historico-victimas</w:t>
        </w:r>
        <w:r>
          <w:rPr>
            <w:color w:val="1155CC"/>
            <w:sz w:val="24"/>
            <w:szCs w:val="24"/>
            <w:u w:val="single"/>
          </w:rPr>
          <w:br/>
        </w:r>
      </w:hyperlink>
    </w:p>
    <w:p w:rsidR="00E02CE9" w:rsidRDefault="008972AB">
      <w:pPr>
        <w:numPr>
          <w:ilvl w:val="0"/>
          <w:numId w:val="10"/>
        </w:numPr>
        <w:spacing w:after="0"/>
        <w:rPr>
          <w:sz w:val="24"/>
          <w:szCs w:val="24"/>
        </w:rPr>
      </w:pPr>
      <w:r>
        <w:rPr>
          <w:sz w:val="24"/>
          <w:szCs w:val="24"/>
        </w:rPr>
        <w:t xml:space="preserve">Agencia Nacional de Seguridad Vial (ANSV). (s.f.). </w:t>
      </w:r>
      <w:r>
        <w:rPr>
          <w:i/>
          <w:sz w:val="24"/>
          <w:szCs w:val="24"/>
        </w:rPr>
        <w:t>Histórico de víctimas</w:t>
      </w:r>
      <w:r>
        <w:rPr>
          <w:sz w:val="24"/>
          <w:szCs w:val="24"/>
        </w:rPr>
        <w:t>. Observatorio de Seguridad Vial. Gobierno de Colombia. Recuperado el [fecha de consulta], de</w:t>
      </w:r>
      <w:hyperlink r:id="rId26">
        <w:r>
          <w:rPr>
            <w:sz w:val="24"/>
            <w:szCs w:val="24"/>
          </w:rPr>
          <w:t xml:space="preserve"> </w:t>
        </w:r>
      </w:hyperlink>
      <w:hyperlink r:id="rId27">
        <w:r>
          <w:rPr>
            <w:color w:val="1155CC"/>
            <w:sz w:val="24"/>
            <w:szCs w:val="24"/>
            <w:u w:val="single"/>
          </w:rPr>
          <w:t>https://ansv.gov.co/es/observatorio/estad%C3%ADsticas/historico-victimas</w:t>
        </w:r>
        <w:r>
          <w:rPr>
            <w:color w:val="1155CC"/>
            <w:sz w:val="24"/>
            <w:szCs w:val="24"/>
            <w:u w:val="single"/>
          </w:rPr>
          <w:br/>
        </w:r>
      </w:hyperlink>
    </w:p>
    <w:p w:rsidR="00E02CE9" w:rsidRDefault="008972AB">
      <w:pPr>
        <w:numPr>
          <w:ilvl w:val="0"/>
          <w:numId w:val="10"/>
        </w:numPr>
        <w:spacing w:after="0"/>
        <w:rPr>
          <w:sz w:val="24"/>
          <w:szCs w:val="24"/>
        </w:rPr>
      </w:pPr>
      <w:r>
        <w:rPr>
          <w:sz w:val="24"/>
          <w:szCs w:val="24"/>
        </w:rPr>
        <w:t xml:space="preserve">Agencia Nacional de Seguridad Vial [ANSV]. (n.d.). </w:t>
      </w:r>
      <w:r>
        <w:rPr>
          <w:i/>
          <w:sz w:val="24"/>
          <w:szCs w:val="24"/>
        </w:rPr>
        <w:t>Estadísticas históricas de víctimas de siniestros viales</w:t>
      </w:r>
      <w:r>
        <w:rPr>
          <w:sz w:val="24"/>
          <w:szCs w:val="24"/>
        </w:rPr>
        <w:t>. Observatorio de Seguridad Vial. Recuperado de</w:t>
      </w:r>
      <w:hyperlink r:id="rId28">
        <w:r>
          <w:rPr>
            <w:sz w:val="24"/>
            <w:szCs w:val="24"/>
          </w:rPr>
          <w:t xml:space="preserve"> </w:t>
        </w:r>
      </w:hyperlink>
      <w:hyperlink r:id="rId29">
        <w:r>
          <w:rPr>
            <w:color w:val="1155CC"/>
            <w:sz w:val="24"/>
            <w:szCs w:val="24"/>
            <w:u w:val="single"/>
          </w:rPr>
          <w:t>https://ansv.gov.co/es/observatorio/estad%C3%ADsticas/historico-victimas</w:t>
        </w:r>
        <w:r>
          <w:rPr>
            <w:color w:val="1155CC"/>
            <w:sz w:val="24"/>
            <w:szCs w:val="24"/>
            <w:u w:val="single"/>
          </w:rPr>
          <w:br/>
        </w:r>
      </w:hyperlink>
    </w:p>
    <w:p w:rsidR="00E02CE9" w:rsidRDefault="008972AB">
      <w:pPr>
        <w:numPr>
          <w:ilvl w:val="0"/>
          <w:numId w:val="10"/>
        </w:numPr>
        <w:spacing w:after="0"/>
        <w:rPr>
          <w:sz w:val="24"/>
          <w:szCs w:val="24"/>
        </w:rPr>
      </w:pPr>
      <w:r>
        <w:rPr>
          <w:sz w:val="24"/>
          <w:szCs w:val="24"/>
        </w:rPr>
        <w:t xml:space="preserve">Miranda Jiménez, R. J. (2014). </w:t>
      </w:r>
      <w:r>
        <w:rPr>
          <w:i/>
          <w:sz w:val="24"/>
          <w:szCs w:val="24"/>
        </w:rPr>
        <w:t>Fatiga y condiciones laborales en conductores de transporte terrestre de pasajeros en una terminal de Colombia</w:t>
      </w:r>
      <w:r>
        <w:rPr>
          <w:sz w:val="24"/>
          <w:szCs w:val="24"/>
        </w:rPr>
        <w:t xml:space="preserve"> (Trabajo de investigación para optar al título de Magíster en Salud Pública). Universidad El Bosque, Facultad de Medicina.</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Buenas prácticas empresariales en el transporte de carga</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Buenas prácticas empresariales en el transporte en dos ruedas</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Conductas seguras en el transporte de pasajeros</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Control de la fatiga en el transporte público</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Eco-conducción</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Efectos de la velocidad y siniestros viales</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Responsabilidad social en el transporte</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Movilidad Bogotá. (2017). </w:t>
      </w:r>
      <w:r>
        <w:rPr>
          <w:i/>
          <w:sz w:val="24"/>
          <w:szCs w:val="24"/>
        </w:rPr>
        <w:t>Visión Cero</w:t>
      </w:r>
      <w:r>
        <w:rPr>
          <w:sz w:val="24"/>
          <w:szCs w:val="24"/>
        </w:rPr>
        <w:t>. Red Empresarial de Seguridad Vial. Recuperado de redempresarial.movilidadbogota.gov.co</w:t>
      </w:r>
      <w:r>
        <w:rPr>
          <w:sz w:val="24"/>
          <w:szCs w:val="24"/>
        </w:rPr>
        <w:br/>
      </w:r>
    </w:p>
    <w:p w:rsidR="00E02CE9" w:rsidRDefault="008972AB">
      <w:pPr>
        <w:numPr>
          <w:ilvl w:val="0"/>
          <w:numId w:val="10"/>
        </w:numPr>
        <w:spacing w:after="0"/>
        <w:rPr>
          <w:sz w:val="24"/>
          <w:szCs w:val="24"/>
        </w:rPr>
      </w:pPr>
      <w:r>
        <w:rPr>
          <w:sz w:val="24"/>
          <w:szCs w:val="24"/>
        </w:rPr>
        <w:t xml:space="preserve">Observatorio de Movilidad de Bogotá. (2025, abril 10). </w:t>
      </w:r>
      <w:r>
        <w:rPr>
          <w:i/>
          <w:sz w:val="24"/>
          <w:szCs w:val="24"/>
        </w:rPr>
        <w:t>Anuario de siniestralidad vial 2024 (Versión Digital 1.0)</w:t>
      </w:r>
      <w:r>
        <w:rPr>
          <w:sz w:val="24"/>
          <w:szCs w:val="24"/>
        </w:rPr>
        <w:t>. Secretaría Distrital de Movilidad. Recuperado de</w:t>
      </w:r>
      <w:hyperlink r:id="rId30">
        <w:r>
          <w:rPr>
            <w:sz w:val="24"/>
            <w:szCs w:val="24"/>
          </w:rPr>
          <w:t xml:space="preserve"> </w:t>
        </w:r>
      </w:hyperlink>
      <w:hyperlink r:id="rId31">
        <w:r>
          <w:rPr>
            <w:color w:val="1155CC"/>
            <w:sz w:val="24"/>
            <w:szCs w:val="24"/>
            <w:u w:val="single"/>
          </w:rPr>
          <w:t>https://observatorio.movilidadbogota.gov.co/sites/observatorio.movilidadbogota.gov.co/files/2025-04-10/pub/ANUARIO%20SINIESTRALIDAD%20VIAL%202024-Digital-1_0.pdf</w:t>
        </w:r>
        <w:r>
          <w:rPr>
            <w:color w:val="1155CC"/>
            <w:sz w:val="24"/>
            <w:szCs w:val="24"/>
            <w:u w:val="single"/>
          </w:rPr>
          <w:br/>
        </w:r>
      </w:hyperlink>
    </w:p>
    <w:p w:rsidR="00E02CE9" w:rsidRDefault="008972AB">
      <w:pPr>
        <w:numPr>
          <w:ilvl w:val="0"/>
          <w:numId w:val="10"/>
        </w:numPr>
        <w:spacing w:after="0"/>
        <w:rPr>
          <w:sz w:val="24"/>
          <w:szCs w:val="24"/>
        </w:rPr>
      </w:pPr>
      <w:r>
        <w:rPr>
          <w:sz w:val="24"/>
          <w:szCs w:val="24"/>
        </w:rPr>
        <w:t xml:space="preserve">Secretaría Distrital de Movilidad. (s.f.). </w:t>
      </w:r>
      <w:r>
        <w:rPr>
          <w:i/>
          <w:sz w:val="24"/>
          <w:szCs w:val="24"/>
        </w:rPr>
        <w:t>Resultados de búsqueda: "buses intermunicipales"</w:t>
      </w:r>
      <w:r>
        <w:rPr>
          <w:sz w:val="24"/>
          <w:szCs w:val="24"/>
        </w:rPr>
        <w:t>. Movilidad Bogotá. Recuperado el [fecha de consulta], de</w:t>
      </w:r>
      <w:hyperlink r:id="rId32">
        <w:r>
          <w:rPr>
            <w:sz w:val="24"/>
            <w:szCs w:val="24"/>
          </w:rPr>
          <w:t xml:space="preserve"> </w:t>
        </w:r>
      </w:hyperlink>
      <w:hyperlink r:id="rId33">
        <w:r>
          <w:rPr>
            <w:color w:val="1155CC"/>
            <w:sz w:val="24"/>
            <w:szCs w:val="24"/>
            <w:u w:val="single"/>
          </w:rPr>
          <w:t>https://www.movilidadbogota.gov.co/web/search/node/buses%20intermunicipales?page</w:t>
        </w:r>
        <w:r>
          <w:rPr>
            <w:color w:val="1155CC"/>
            <w:sz w:val="24"/>
            <w:szCs w:val="24"/>
            <w:u w:val="single"/>
          </w:rPr>
          <w:br/>
        </w:r>
      </w:hyperlink>
    </w:p>
    <w:p w:rsidR="00E02CE9" w:rsidRDefault="008972AB">
      <w:pPr>
        <w:numPr>
          <w:ilvl w:val="0"/>
          <w:numId w:val="10"/>
        </w:numPr>
        <w:rPr>
          <w:sz w:val="24"/>
          <w:szCs w:val="24"/>
        </w:rPr>
      </w:pPr>
      <w:r>
        <w:rPr>
          <w:sz w:val="24"/>
          <w:szCs w:val="24"/>
        </w:rPr>
        <w:t xml:space="preserve">Terminal de Transporte S.A. (2025). </w:t>
      </w:r>
      <w:r>
        <w:rPr>
          <w:i/>
          <w:sz w:val="24"/>
          <w:szCs w:val="24"/>
        </w:rPr>
        <w:t>Informe de gestión 2024 (Versión Final 1)</w:t>
      </w:r>
      <w:r>
        <w:rPr>
          <w:sz w:val="24"/>
          <w:szCs w:val="24"/>
        </w:rPr>
        <w:t>. Recuperado de</w:t>
      </w:r>
      <w:hyperlink r:id="rId34">
        <w:r>
          <w:rPr>
            <w:sz w:val="24"/>
            <w:szCs w:val="24"/>
          </w:rPr>
          <w:t xml:space="preserve"> </w:t>
        </w:r>
      </w:hyperlink>
      <w:hyperlink r:id="rId35">
        <w:r>
          <w:rPr>
            <w:color w:val="1155CC"/>
            <w:sz w:val="24"/>
            <w:szCs w:val="24"/>
            <w:u w:val="single"/>
          </w:rPr>
          <w:t>https://www.terminaldetransporte.gov.co/wp-content/uploads/2025/02/20250217-Informe-de-gestion-2024-VF-1.pdf</w:t>
        </w:r>
      </w:hyperlink>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E02CE9">
      <w:pPr>
        <w:rPr>
          <w:sz w:val="24"/>
          <w:szCs w:val="24"/>
        </w:rPr>
      </w:pPr>
    </w:p>
    <w:p w:rsidR="00E02CE9" w:rsidRDefault="008972AB">
      <w:pPr>
        <w:pStyle w:val="Ttulo1"/>
        <w:numPr>
          <w:ilvl w:val="0"/>
          <w:numId w:val="8"/>
        </w:numPr>
        <w:rPr>
          <w:sz w:val="24"/>
          <w:szCs w:val="24"/>
        </w:rPr>
      </w:pPr>
      <w:bookmarkStart w:id="1" w:name="_heading=h.qr4m8ziytzmi" w:colFirst="0" w:colLast="0"/>
      <w:bookmarkEnd w:id="1"/>
      <w:r>
        <w:rPr>
          <w:sz w:val="24"/>
          <w:szCs w:val="24"/>
        </w:rPr>
        <w:t>ARTICULADO</w:t>
      </w:r>
    </w:p>
    <w:p w:rsidR="00E02CE9" w:rsidRDefault="008972AB">
      <w:pPr>
        <w:spacing w:before="240" w:after="240"/>
        <w:jc w:val="center"/>
        <w:rPr>
          <w:b/>
          <w:i/>
          <w:sz w:val="24"/>
          <w:szCs w:val="24"/>
        </w:rPr>
      </w:pPr>
      <w:r>
        <w:rPr>
          <w:b/>
          <w:i/>
          <w:sz w:val="24"/>
          <w:szCs w:val="24"/>
        </w:rPr>
        <w:t>“POR EL CUAL SE ESTABLECE UN PROTOCOLO PARA GESTIONAR LA FATIGA Y EL CANSANCIO EN LOS CONDUCTORES QUE OPERAN EN LOS TERMINALES DE TRANSPORTE TERRESTRE AUTOMOTOR DE PASAJEROS POR CARRETERA EN BOGOTÁ Y SE DICTAN OTRAS DISPOSICIONES”</w:t>
      </w:r>
    </w:p>
    <w:p w:rsidR="00E02CE9" w:rsidRDefault="008972AB">
      <w:pPr>
        <w:spacing w:before="240" w:after="240"/>
        <w:jc w:val="center"/>
        <w:rPr>
          <w:b/>
          <w:sz w:val="24"/>
          <w:szCs w:val="24"/>
        </w:rPr>
      </w:pPr>
      <w:r>
        <w:rPr>
          <w:b/>
          <w:sz w:val="24"/>
          <w:szCs w:val="24"/>
        </w:rPr>
        <w:t>EL CONCEJO DE BOGOTÁ D.C</w:t>
      </w:r>
    </w:p>
    <w:p w:rsidR="00E02CE9" w:rsidRDefault="008972AB">
      <w:pPr>
        <w:spacing w:before="240" w:after="240"/>
        <w:jc w:val="center"/>
        <w:rPr>
          <w:b/>
          <w:sz w:val="24"/>
          <w:szCs w:val="24"/>
        </w:rPr>
      </w:pPr>
      <w:r>
        <w:rPr>
          <w:b/>
          <w:sz w:val="24"/>
          <w:szCs w:val="24"/>
        </w:rPr>
        <w:t>En ejercicio de sus atribuciones Constitucionales y Legales, en especial las conferidas por el numeral 1, del artículo 12 del Decreto Ley 1421 de 1993</w:t>
      </w:r>
    </w:p>
    <w:p w:rsidR="00E02CE9" w:rsidRDefault="008972AB">
      <w:pPr>
        <w:spacing w:before="240" w:after="240"/>
        <w:jc w:val="center"/>
        <w:rPr>
          <w:b/>
          <w:sz w:val="24"/>
          <w:szCs w:val="24"/>
        </w:rPr>
      </w:pPr>
      <w:r>
        <w:rPr>
          <w:b/>
          <w:sz w:val="24"/>
          <w:szCs w:val="24"/>
        </w:rPr>
        <w:t>ACUERDA</w:t>
      </w:r>
    </w:p>
    <w:p w:rsidR="00E02CE9" w:rsidRDefault="008972AB">
      <w:pPr>
        <w:spacing w:before="240" w:after="240"/>
        <w:rPr>
          <w:sz w:val="24"/>
          <w:szCs w:val="24"/>
        </w:rPr>
      </w:pPr>
      <w:r>
        <w:rPr>
          <w:b/>
          <w:sz w:val="24"/>
          <w:szCs w:val="24"/>
        </w:rPr>
        <w:t xml:space="preserve">Artículo 1. Objeto. </w:t>
      </w:r>
      <w:r>
        <w:rPr>
          <w:sz w:val="24"/>
          <w:szCs w:val="24"/>
        </w:rPr>
        <w:t>Establecer un protocolo para gestionar la fatiga y el cansancio en los conductores que operan rutas desde y hacia terminales de transporte terrestre automotor de pasajeros por carretera en Bogotá (sedes Salitre, Satélite Norte y Satélite Sur).</w:t>
      </w:r>
    </w:p>
    <w:p w:rsidR="00E02CE9" w:rsidRDefault="008972AB">
      <w:pPr>
        <w:spacing w:before="240" w:after="240"/>
        <w:rPr>
          <w:sz w:val="24"/>
          <w:szCs w:val="24"/>
        </w:rPr>
      </w:pPr>
      <w:r>
        <w:rPr>
          <w:b/>
          <w:sz w:val="24"/>
          <w:szCs w:val="24"/>
        </w:rPr>
        <w:t>Artículo 2. Fases del protocolo.</w:t>
      </w:r>
      <w:r>
        <w:rPr>
          <w:sz w:val="24"/>
          <w:szCs w:val="24"/>
        </w:rPr>
        <w:t xml:space="preserve">  El presente protocolo deberá estructurarse en cuatro fases principales:</w:t>
      </w:r>
    </w:p>
    <w:p w:rsidR="00E02CE9" w:rsidRDefault="008972AB">
      <w:pPr>
        <w:numPr>
          <w:ilvl w:val="0"/>
          <w:numId w:val="3"/>
        </w:numPr>
        <w:spacing w:after="0"/>
        <w:rPr>
          <w:sz w:val="24"/>
          <w:szCs w:val="24"/>
        </w:rPr>
      </w:pPr>
      <w:r>
        <w:rPr>
          <w:b/>
          <w:sz w:val="24"/>
          <w:szCs w:val="24"/>
        </w:rPr>
        <w:t xml:space="preserve">Prevención: </w:t>
      </w:r>
      <w:r>
        <w:rPr>
          <w:sz w:val="24"/>
          <w:szCs w:val="24"/>
        </w:rPr>
        <w:t xml:space="preserve"> Se deben incluir acciones dirigidas a evitar la aparición de la fatiga y cansancio a través de campañas de activas y jornadas informativas sobre el riesgo que representa la fatiga al volante.</w:t>
      </w:r>
    </w:p>
    <w:p w:rsidR="00E02CE9" w:rsidRDefault="008972AB">
      <w:pPr>
        <w:numPr>
          <w:ilvl w:val="0"/>
          <w:numId w:val="3"/>
        </w:numPr>
        <w:spacing w:after="0"/>
        <w:rPr>
          <w:sz w:val="24"/>
          <w:szCs w:val="24"/>
        </w:rPr>
      </w:pPr>
      <w:r>
        <w:rPr>
          <w:b/>
          <w:sz w:val="24"/>
          <w:szCs w:val="24"/>
        </w:rPr>
        <w:t>Monitoreo y control:</w:t>
      </w:r>
      <w:r>
        <w:rPr>
          <w:sz w:val="24"/>
          <w:szCs w:val="24"/>
        </w:rPr>
        <w:t xml:space="preserve"> Se deberá integrar un sistema de registro de las horas de conducción acumuladas por cada conductor, así como la implementación de mecanismos automáticos de rotación laboral que impidan jornadas excesivas que pongan en riesgo la integridad del conductor y los pasajeros.</w:t>
      </w:r>
    </w:p>
    <w:p w:rsidR="00E02CE9" w:rsidRDefault="008972AB">
      <w:pPr>
        <w:numPr>
          <w:ilvl w:val="0"/>
          <w:numId w:val="3"/>
        </w:numPr>
        <w:spacing w:after="0"/>
        <w:rPr>
          <w:sz w:val="24"/>
          <w:szCs w:val="24"/>
        </w:rPr>
      </w:pPr>
      <w:r>
        <w:rPr>
          <w:b/>
          <w:sz w:val="24"/>
          <w:szCs w:val="24"/>
        </w:rPr>
        <w:t>Intervención inmediata:</w:t>
      </w:r>
      <w:r>
        <w:rPr>
          <w:sz w:val="24"/>
          <w:szCs w:val="24"/>
        </w:rPr>
        <w:t xml:space="preserve">  Una vez detectado el escenario de fatiga, se dará la activación de protocolo de respuesta cuando se detecte algún grado de fatiga, permitiendo el relevo inmediato del conductor, la disponibilidad de zonas adecuadas de descanso, y la atención médica básica.</w:t>
      </w:r>
    </w:p>
    <w:p w:rsidR="00E02CE9" w:rsidRDefault="008972AB">
      <w:pPr>
        <w:numPr>
          <w:ilvl w:val="0"/>
          <w:numId w:val="3"/>
        </w:numPr>
        <w:spacing w:after="240"/>
        <w:rPr>
          <w:sz w:val="24"/>
          <w:szCs w:val="24"/>
        </w:rPr>
      </w:pPr>
      <w:r>
        <w:rPr>
          <w:b/>
          <w:sz w:val="24"/>
          <w:szCs w:val="24"/>
        </w:rPr>
        <w:t xml:space="preserve">Evaluación y seguimiento: </w:t>
      </w:r>
      <w:r>
        <w:rPr>
          <w:sz w:val="24"/>
          <w:szCs w:val="24"/>
        </w:rPr>
        <w:t xml:space="preserve"> Se establecerán indicadores de implementación del protocolo, se verificará el uso de las zonas de descanso, y se consolidará la información sobre siniestros asociados a fatiga para ser considerada en los ajustes</w:t>
      </w:r>
    </w:p>
    <w:p w:rsidR="00E02CE9" w:rsidRDefault="008972AB">
      <w:pPr>
        <w:spacing w:before="240" w:after="240"/>
        <w:rPr>
          <w:sz w:val="24"/>
          <w:szCs w:val="24"/>
        </w:rPr>
      </w:pPr>
      <w:r>
        <w:rPr>
          <w:b/>
          <w:sz w:val="24"/>
          <w:szCs w:val="24"/>
        </w:rPr>
        <w:t xml:space="preserve">Artículo 3. Contenido mínimo del protocolo. </w:t>
      </w:r>
      <w:r>
        <w:rPr>
          <w:sz w:val="24"/>
          <w:szCs w:val="24"/>
        </w:rPr>
        <w:t>El protocolo para gestionar la fatiga y el cansancio en los conductores que operan en desde y hacia terminales de transporte terrestre automotor de pasajeros por carretera en Bogotá (sedes Salitre, Satélite Norte y Satélite Sur), deberá contener, como mínimo, los siguientes componentes:</w:t>
      </w:r>
    </w:p>
    <w:p w:rsidR="00E02CE9" w:rsidRDefault="008972AB">
      <w:pPr>
        <w:numPr>
          <w:ilvl w:val="0"/>
          <w:numId w:val="1"/>
        </w:numPr>
        <w:spacing w:after="0"/>
        <w:rPr>
          <w:sz w:val="24"/>
          <w:szCs w:val="24"/>
        </w:rPr>
      </w:pPr>
      <w:r>
        <w:rPr>
          <w:sz w:val="24"/>
          <w:szCs w:val="24"/>
        </w:rPr>
        <w:t>Espacios de descanso: la Terminal de Transporte S.A deberá contar con zonas equipadas adecuadamente para que los conductores puedan descansar y recuperarse antes y después de los trayectos de las rutas que operen con origen o destino Bogotá D.C.</w:t>
      </w:r>
    </w:p>
    <w:p w:rsidR="00E02CE9" w:rsidRDefault="008972AB">
      <w:pPr>
        <w:numPr>
          <w:ilvl w:val="0"/>
          <w:numId w:val="1"/>
        </w:numPr>
        <w:spacing w:after="240"/>
        <w:rPr>
          <w:sz w:val="24"/>
          <w:szCs w:val="24"/>
        </w:rPr>
      </w:pPr>
      <w:r>
        <w:rPr>
          <w:sz w:val="24"/>
          <w:szCs w:val="24"/>
        </w:rPr>
        <w:t>Mecanismo de control para la rotación del personal: Las empresas de transporte terrestre automotor de pasajeros por carretera que tengan autorizadas o registradas rutas con origen o destino Bogotá D.C., deberán implementar mecanismos estandarizados para evitar excesos en las horas continuas de conducción, la repetición injustificada de turnos, y los intervalos inadecuados e insuficientes entre trayectos por parte de los conductores.</w:t>
      </w:r>
    </w:p>
    <w:p w:rsidR="00E02CE9" w:rsidRDefault="008972AB">
      <w:pPr>
        <w:spacing w:before="240" w:after="240"/>
        <w:ind w:left="720"/>
        <w:rPr>
          <w:sz w:val="24"/>
          <w:szCs w:val="24"/>
        </w:rPr>
      </w:pPr>
      <w:r>
        <w:rPr>
          <w:sz w:val="24"/>
          <w:szCs w:val="24"/>
        </w:rPr>
        <w:t>Dentro de este componente, y de conformidad con los lineamientos del Ministerio de Transporte, de la Agencia Nacional de Seguridad Vial y demás autoridades competentes, la Terminal de Transporte S.A definirá los estándares mínimos de control para la rotación de personal (máximo de horas permitidas de conducción continua, intervalos adecuados de descanso entre trayectos, pausas activas, entre otros) y los comunicará oportunamente a las empresas de transporte terrestre automotor de pasajeros por carretera que tengan autorizadas o registradas rutas con origen o destino Bogotá D.C.</w:t>
      </w:r>
    </w:p>
    <w:p w:rsidR="00E02CE9" w:rsidRDefault="008972AB">
      <w:pPr>
        <w:spacing w:before="240" w:after="240"/>
        <w:ind w:left="720"/>
        <w:rPr>
          <w:sz w:val="24"/>
          <w:szCs w:val="24"/>
        </w:rPr>
      </w:pPr>
      <w:r>
        <w:rPr>
          <w:sz w:val="24"/>
          <w:szCs w:val="24"/>
        </w:rPr>
        <w:t>La Terminal de Transporte S.A establecerá los mecanismos de seguimiento y verificación del cumplimiento de los criterios de control para la rotación del personal a los que hace referencia el presente numeral.</w:t>
      </w:r>
    </w:p>
    <w:p w:rsidR="00E02CE9" w:rsidRDefault="008972AB">
      <w:pPr>
        <w:numPr>
          <w:ilvl w:val="0"/>
          <w:numId w:val="6"/>
        </w:numPr>
        <w:spacing w:after="0"/>
        <w:rPr>
          <w:sz w:val="24"/>
          <w:szCs w:val="24"/>
        </w:rPr>
      </w:pPr>
      <w:r>
        <w:rPr>
          <w:sz w:val="24"/>
          <w:szCs w:val="24"/>
        </w:rPr>
        <w:t>Identificación de los conductores que operan rutas desde y hacia terminales de transporte terrestre automotor de pasajeros por carretera en Bogotá: la Terminal de Transporte S.A definirá los mecanismos necesarios para digitalizar y garantizar el acceso a la información por parte de los usuarios sobre la identificación de cada conductor que opera rutas desde y hacia terminales de transporte terrestre automotor de pasajeros por carretera en Bogotá. La información de cada conductor contemplará, como mínimo: i) nombre completo; ii) empresa a la que se encuentra vinculado; iii) ruta o rutas que opera en tiempo real; iv) restricciones o limitaciones para conducir; v) estado de salud; vi) controles de fatiga realizados en su última jornada; y vii) horas acumuladas continuas de conducción.</w:t>
      </w:r>
    </w:p>
    <w:p w:rsidR="00E02CE9" w:rsidRDefault="008972AB">
      <w:pPr>
        <w:numPr>
          <w:ilvl w:val="0"/>
          <w:numId w:val="6"/>
        </w:numPr>
        <w:spacing w:after="0"/>
        <w:rPr>
          <w:sz w:val="24"/>
          <w:szCs w:val="24"/>
        </w:rPr>
      </w:pPr>
      <w:r>
        <w:rPr>
          <w:sz w:val="24"/>
          <w:szCs w:val="24"/>
        </w:rPr>
        <w:t>Información del estado del vehículo: la Terminal de Transporte S.A definirá los mecanismos necesarios para digitalizar y garantizar el acceso a la información por parte de los usuarios sobre la información del vehículo que opera cada ruta desde y hacia terminales de transporte terrestre automotor de pasajeros por carretera en Bogotá en tiempo real (placa, ruta, hora de salida, empresa operadora, modelo, verificación de revisión técnico mecánica, horas continuas de operación, entre otros).</w:t>
      </w:r>
    </w:p>
    <w:p w:rsidR="00E02CE9" w:rsidRDefault="008972AB">
      <w:pPr>
        <w:numPr>
          <w:ilvl w:val="0"/>
          <w:numId w:val="6"/>
        </w:numPr>
        <w:spacing w:after="0"/>
        <w:rPr>
          <w:sz w:val="24"/>
          <w:szCs w:val="24"/>
        </w:rPr>
      </w:pPr>
      <w:r>
        <w:rPr>
          <w:sz w:val="24"/>
          <w:szCs w:val="24"/>
        </w:rPr>
        <w:t>Modernización de los mecanismos para la detección de fatiga y el cansancio: la Terminal de Transporte S.A y las empresas de transporte terrestre automotor de pasajeros por carretera que tengan autorizadas o registradas rutas con origen o destino Bogotá D.C, aunarán esfuerzos para incorporar la última tecnología disponible para detectar signos de fatiga y cansancio en los conductores (sensores de parpadeo, inteligencia artificial aplicada a cámaras, entre otros.).</w:t>
      </w:r>
    </w:p>
    <w:p w:rsidR="00E02CE9" w:rsidRDefault="008972AB">
      <w:pPr>
        <w:numPr>
          <w:ilvl w:val="0"/>
          <w:numId w:val="6"/>
        </w:numPr>
        <w:spacing w:after="240"/>
        <w:rPr>
          <w:sz w:val="24"/>
          <w:szCs w:val="24"/>
        </w:rPr>
      </w:pPr>
      <w:r>
        <w:rPr>
          <w:sz w:val="24"/>
          <w:szCs w:val="24"/>
        </w:rPr>
        <w:t>Identificación de patrones de fatiga: la Terminal de Transporte S.A deberá establecer criterios clínicos y conductuales que permitan la detección temprana y la identificación de patrones de fatiga en los conductores que opera rutas desde y hacia terminales de transporte terrestre automotor de pasajeros por carretera en Bogotá, así como protocolos para actuar en caso de materializarse los riesgos de fatiga.</w:t>
      </w:r>
    </w:p>
    <w:p w:rsidR="00E02CE9" w:rsidRDefault="008972AB">
      <w:pPr>
        <w:spacing w:before="240" w:after="240"/>
        <w:rPr>
          <w:b/>
          <w:sz w:val="24"/>
          <w:szCs w:val="24"/>
        </w:rPr>
      </w:pPr>
      <w:r>
        <w:rPr>
          <w:b/>
          <w:sz w:val="24"/>
          <w:szCs w:val="24"/>
        </w:rPr>
        <w:t xml:space="preserve">Artículo 4. Caracterización de la siniestralidad vial asociada a las rutas que operan desde y hacia terminales de transporte terrestre automotor de pasajeros por carretera en Bogotá (sedes Salitre, Satélite Norte y Satélite Sur). </w:t>
      </w:r>
      <w:r>
        <w:rPr>
          <w:sz w:val="24"/>
          <w:szCs w:val="24"/>
        </w:rPr>
        <w:t>La Secretaría Distrital de Movilidad, en coordinación con el Observatorio de Movilidad y la Terminal de Transporte S.A, deberán elaborar anualmente un informe técnico que caracterice la siniestralidad vial vinculada asociada a las rutas que operan desde y hacia terminales de transporte terrestre automotor de pasajeros por carretera en Bogotá (sedes Salitre, Satélite Norte y Satélite Sur), haciendo énfasis en los factores de riesgo asociados a la fatiga y el cansancio de los conductores, los tiempos acumulados de conducción, las rutas con mayor exposición al riesgo y las posibles fallas en los mecanismos de control y rotación de personal.</w:t>
      </w:r>
    </w:p>
    <w:p w:rsidR="00E02CE9" w:rsidRDefault="008972AB">
      <w:pPr>
        <w:spacing w:before="240" w:after="240"/>
        <w:rPr>
          <w:sz w:val="24"/>
          <w:szCs w:val="24"/>
        </w:rPr>
      </w:pPr>
      <w:r>
        <w:rPr>
          <w:b/>
          <w:sz w:val="24"/>
          <w:szCs w:val="24"/>
        </w:rPr>
        <w:t xml:space="preserve">Artículo 5. Vigencia. </w:t>
      </w:r>
      <w:r>
        <w:rPr>
          <w:sz w:val="24"/>
          <w:szCs w:val="24"/>
        </w:rPr>
        <w:t>El presente acuerdo rige a partir de la fecha de su publicación.</w:t>
      </w:r>
    </w:p>
    <w:p w:rsidR="00E02CE9" w:rsidRDefault="008972AB">
      <w:pPr>
        <w:spacing w:after="240"/>
        <w:jc w:val="center"/>
        <w:rPr>
          <w:b/>
          <w:sz w:val="24"/>
          <w:szCs w:val="24"/>
        </w:rPr>
      </w:pPr>
      <w:r>
        <w:rPr>
          <w:b/>
          <w:sz w:val="24"/>
          <w:szCs w:val="24"/>
        </w:rPr>
        <w:t>PUBLÍQUESE Y CÚMPLASE</w:t>
      </w:r>
    </w:p>
    <w:p w:rsidR="00E02CE9" w:rsidRDefault="00E02CE9">
      <w:pPr>
        <w:spacing w:after="240"/>
        <w:jc w:val="center"/>
        <w:rPr>
          <w:b/>
          <w:sz w:val="24"/>
          <w:szCs w:val="24"/>
        </w:rPr>
      </w:pPr>
    </w:p>
    <w:p w:rsidR="00E02CE9" w:rsidRDefault="008972AB">
      <w:pPr>
        <w:spacing w:line="312" w:lineRule="auto"/>
        <w:rPr>
          <w:sz w:val="24"/>
          <w:szCs w:val="24"/>
        </w:rPr>
      </w:pPr>
      <w:r>
        <w:rPr>
          <w:sz w:val="24"/>
          <w:szCs w:val="24"/>
        </w:rPr>
        <w:t>Cordialmente,</w:t>
      </w:r>
    </w:p>
    <w:p w:rsidR="00E02CE9" w:rsidRDefault="00E02CE9">
      <w:pPr>
        <w:spacing w:line="312" w:lineRule="auto"/>
        <w:rPr>
          <w:sz w:val="24"/>
          <w:szCs w:val="24"/>
        </w:rPr>
      </w:pPr>
    </w:p>
    <w:p w:rsidR="00E02CE9" w:rsidRDefault="00E02CE9">
      <w:pPr>
        <w:spacing w:line="312" w:lineRule="auto"/>
        <w:rPr>
          <w:sz w:val="24"/>
          <w:szCs w:val="24"/>
        </w:rPr>
      </w:pPr>
    </w:p>
    <w:p w:rsidR="00E02CE9" w:rsidRDefault="00E02CE9">
      <w:pPr>
        <w:spacing w:after="0" w:line="240" w:lineRule="auto"/>
        <w:rPr>
          <w:b/>
          <w:sz w:val="24"/>
          <w:szCs w:val="24"/>
        </w:rPr>
      </w:pPr>
    </w:p>
    <w:p w:rsidR="00E02CE9" w:rsidRDefault="008972AB">
      <w:pPr>
        <w:spacing w:after="0" w:line="240" w:lineRule="auto"/>
        <w:rPr>
          <w:b/>
          <w:sz w:val="24"/>
          <w:szCs w:val="24"/>
        </w:rPr>
      </w:pPr>
      <w:r>
        <w:rPr>
          <w:b/>
          <w:sz w:val="24"/>
          <w:szCs w:val="24"/>
        </w:rPr>
        <w:t>RUBÉN DARÍO TORRADO PACHECO</w:t>
      </w:r>
    </w:p>
    <w:p w:rsidR="00E02CE9" w:rsidRDefault="008972AB">
      <w:pPr>
        <w:rPr>
          <w:b/>
          <w:sz w:val="24"/>
          <w:szCs w:val="24"/>
        </w:rPr>
      </w:pPr>
      <w:r>
        <w:rPr>
          <w:sz w:val="24"/>
          <w:szCs w:val="24"/>
        </w:rPr>
        <w:t>Concejal de Bogotá D.C</w:t>
      </w:r>
    </w:p>
    <w:sectPr w:rsidR="00E02CE9">
      <w:headerReference w:type="default" r:id="rId36"/>
      <w:footerReference w:type="even" r:id="rId37"/>
      <w:footerReference w:type="default" r:id="rId38"/>
      <w:pgSz w:w="12242" w:h="15842"/>
      <w:pgMar w:top="1701" w:right="1701" w:bottom="709"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53E2" w:rsidRDefault="008972AB">
      <w:pPr>
        <w:spacing w:after="0" w:line="240" w:lineRule="auto"/>
      </w:pPr>
      <w:r>
        <w:separator/>
      </w:r>
    </w:p>
  </w:endnote>
  <w:endnote w:type="continuationSeparator" w:id="0">
    <w:p w:rsidR="000353E2" w:rsidRDefault="008972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roman"/>
    <w:notTrueType/>
    <w:pitch w:val="default"/>
  </w:font>
  <w:font w:name="Georgia">
    <w:panose1 w:val="02040502050405020303"/>
    <w:charset w:val="00"/>
    <w:family w:val="auto"/>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CE9" w:rsidRDefault="008972AB">
    <w:pPr>
      <w:pBdr>
        <w:top w:val="nil"/>
        <w:left w:val="nil"/>
        <w:bottom w:val="nil"/>
        <w:right w:val="nil"/>
        <w:between w:val="nil"/>
      </w:pBdr>
      <w:tabs>
        <w:tab w:val="center" w:pos="4252"/>
        <w:tab w:val="right" w:pos="8504"/>
      </w:tabs>
    </w:pPr>
    <w:r>
      <w:fldChar w:fldCharType="begin"/>
    </w:r>
    <w:r>
      <w:instrText>PAGE</w:instrText>
    </w:r>
    <w:r>
      <w:fldChar w:fldCharType="end"/>
    </w:r>
  </w:p>
  <w:p w:rsidR="00E02CE9" w:rsidRDefault="00E02CE9">
    <w:pPr>
      <w:pBdr>
        <w:top w:val="nil"/>
        <w:left w:val="nil"/>
        <w:bottom w:val="nil"/>
        <w:right w:val="nil"/>
        <w:between w:val="nil"/>
      </w:pBdr>
      <w:tabs>
        <w:tab w:val="center" w:pos="4252"/>
        <w:tab w:val="right" w:pos="8504"/>
      </w:tabs>
    </w:pPr>
  </w:p>
  <w:p w:rsidR="00E02CE9" w:rsidRDefault="00E02CE9"/>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CE9" w:rsidRDefault="00E02CE9">
    <w:pPr>
      <w:pBdr>
        <w:top w:val="nil"/>
        <w:left w:val="nil"/>
        <w:bottom w:val="nil"/>
        <w:right w:val="nil"/>
        <w:between w:val="nil"/>
      </w:pBdr>
      <w:tabs>
        <w:tab w:val="center" w:pos="4252"/>
        <w:tab w:val="right" w:pos="8504"/>
      </w:tabs>
    </w:pPr>
  </w:p>
  <w:p w:rsidR="00E02CE9" w:rsidRDefault="00E02CE9">
    <w:pPr>
      <w:pBdr>
        <w:top w:val="nil"/>
        <w:left w:val="nil"/>
        <w:bottom w:val="nil"/>
        <w:right w:val="nil"/>
        <w:between w:val="nil"/>
      </w:pBdr>
      <w:tabs>
        <w:tab w:val="center" w:pos="4252"/>
        <w:tab w:val="right" w:pos="8504"/>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53E2" w:rsidRDefault="008972AB">
      <w:pPr>
        <w:spacing w:after="0" w:line="240" w:lineRule="auto"/>
      </w:pPr>
      <w:r>
        <w:separator/>
      </w:r>
    </w:p>
  </w:footnote>
  <w:footnote w:type="continuationSeparator" w:id="0">
    <w:p w:rsidR="000353E2" w:rsidRDefault="008972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CE9" w:rsidRDefault="00E02CE9">
    <w:pPr>
      <w:widowControl w:val="0"/>
      <w:pBdr>
        <w:top w:val="nil"/>
        <w:left w:val="nil"/>
        <w:bottom w:val="nil"/>
        <w:right w:val="nil"/>
        <w:between w:val="nil"/>
      </w:pBdr>
      <w:spacing w:after="0"/>
      <w:jc w:val="left"/>
      <w:rPr>
        <w:b/>
      </w:rPr>
    </w:pPr>
  </w:p>
  <w:tbl>
    <w:tblPr>
      <w:tblStyle w:val="a2"/>
      <w:tblW w:w="8830" w:type="dxa"/>
      <w:tblInd w:w="0" w:type="dxa"/>
      <w:tblLayout w:type="fixed"/>
      <w:tblLook w:val="0000" w:firstRow="0" w:lastRow="0" w:firstColumn="0" w:lastColumn="0" w:noHBand="0" w:noVBand="0"/>
    </w:tblPr>
    <w:tblGrid>
      <w:gridCol w:w="2361"/>
      <w:gridCol w:w="4235"/>
      <w:gridCol w:w="2234"/>
    </w:tblGrid>
    <w:tr w:rsidR="00E02CE9">
      <w:trPr>
        <w:trHeight w:val="454"/>
      </w:trPr>
      <w:tc>
        <w:tcPr>
          <w:tcW w:w="2361" w:type="dxa"/>
          <w:vMerge w:val="restart"/>
          <w:tcBorders>
            <w:top w:val="single" w:sz="4" w:space="0" w:color="000000"/>
            <w:left w:val="single" w:sz="4" w:space="0" w:color="000000"/>
            <w:right w:val="single" w:sz="4" w:space="0" w:color="000000"/>
          </w:tcBorders>
          <w:vAlign w:val="center"/>
        </w:tcPr>
        <w:p w:rsidR="00E02CE9" w:rsidRDefault="00E02CE9">
          <w:pPr>
            <w:spacing w:after="0"/>
            <w:rPr>
              <w:sz w:val="20"/>
              <w:szCs w:val="20"/>
            </w:rPr>
          </w:pPr>
        </w:p>
      </w:tc>
      <w:tc>
        <w:tcPr>
          <w:tcW w:w="4235" w:type="dxa"/>
          <w:tcBorders>
            <w:top w:val="single" w:sz="4" w:space="0" w:color="000000"/>
            <w:left w:val="nil"/>
            <w:bottom w:val="single" w:sz="4" w:space="0" w:color="000000"/>
            <w:right w:val="single" w:sz="4" w:space="0" w:color="000000"/>
          </w:tcBorders>
          <w:vAlign w:val="center"/>
        </w:tcPr>
        <w:p w:rsidR="00E02CE9" w:rsidRDefault="008972AB">
          <w:pPr>
            <w:spacing w:after="0"/>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E02CE9" w:rsidRDefault="008972AB">
          <w:pPr>
            <w:spacing w:after="0"/>
            <w:jc w:val="left"/>
            <w:rPr>
              <w:sz w:val="16"/>
              <w:szCs w:val="16"/>
            </w:rPr>
          </w:pPr>
          <w:r>
            <w:rPr>
              <w:sz w:val="16"/>
              <w:szCs w:val="16"/>
            </w:rPr>
            <w:t>CÓDIGO</w:t>
          </w:r>
          <w:r>
            <w:rPr>
              <w:color w:val="3366FF"/>
              <w:sz w:val="16"/>
              <w:szCs w:val="16"/>
            </w:rPr>
            <w:t xml:space="preserve">: </w:t>
          </w:r>
          <w:r>
            <w:rPr>
              <w:sz w:val="16"/>
              <w:szCs w:val="16"/>
            </w:rPr>
            <w:t>GNV-FO-001</w:t>
          </w:r>
        </w:p>
      </w:tc>
    </w:tr>
    <w:tr w:rsidR="00E02CE9">
      <w:trPr>
        <w:trHeight w:val="454"/>
      </w:trPr>
      <w:tc>
        <w:tcPr>
          <w:tcW w:w="2361" w:type="dxa"/>
          <w:vMerge/>
          <w:tcBorders>
            <w:top w:val="single" w:sz="4" w:space="0" w:color="000000"/>
            <w:left w:val="single" w:sz="4" w:space="0" w:color="000000"/>
            <w:right w:val="single" w:sz="4" w:space="0" w:color="000000"/>
          </w:tcBorders>
          <w:vAlign w:val="center"/>
        </w:tcPr>
        <w:p w:rsidR="00E02CE9" w:rsidRDefault="00E02CE9">
          <w:pPr>
            <w:widowControl w:val="0"/>
            <w:pBdr>
              <w:top w:val="nil"/>
              <w:left w:val="nil"/>
              <w:bottom w:val="nil"/>
              <w:right w:val="nil"/>
              <w:between w:val="nil"/>
            </w:pBdr>
            <w:spacing w:after="0"/>
            <w:jc w:val="left"/>
            <w:rPr>
              <w:sz w:val="16"/>
              <w:szCs w:val="16"/>
            </w:rPr>
          </w:pPr>
        </w:p>
      </w:tc>
      <w:tc>
        <w:tcPr>
          <w:tcW w:w="4235" w:type="dxa"/>
          <w:vMerge w:val="restart"/>
          <w:tcBorders>
            <w:top w:val="single" w:sz="4" w:space="0" w:color="000000"/>
            <w:left w:val="nil"/>
            <w:right w:val="single" w:sz="4" w:space="0" w:color="000000"/>
          </w:tcBorders>
          <w:vAlign w:val="center"/>
        </w:tcPr>
        <w:p w:rsidR="00E02CE9" w:rsidRDefault="008972AB">
          <w:pPr>
            <w:spacing w:after="0"/>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rsidR="00E02CE9" w:rsidRDefault="008972AB">
          <w:pPr>
            <w:spacing w:after="0"/>
            <w:jc w:val="left"/>
            <w:rPr>
              <w:sz w:val="16"/>
              <w:szCs w:val="16"/>
            </w:rPr>
          </w:pPr>
          <w:r>
            <w:rPr>
              <w:sz w:val="16"/>
              <w:szCs w:val="16"/>
            </w:rPr>
            <w:t>VERSIÓN:    02</w:t>
          </w:r>
        </w:p>
      </w:tc>
    </w:tr>
    <w:tr w:rsidR="00E02CE9">
      <w:trPr>
        <w:trHeight w:val="454"/>
      </w:trPr>
      <w:tc>
        <w:tcPr>
          <w:tcW w:w="2361" w:type="dxa"/>
          <w:vMerge/>
          <w:tcBorders>
            <w:top w:val="single" w:sz="4" w:space="0" w:color="000000"/>
            <w:left w:val="single" w:sz="4" w:space="0" w:color="000000"/>
            <w:right w:val="single" w:sz="4" w:space="0" w:color="000000"/>
          </w:tcBorders>
          <w:vAlign w:val="center"/>
        </w:tcPr>
        <w:p w:rsidR="00E02CE9" w:rsidRDefault="00E02CE9">
          <w:pPr>
            <w:widowControl w:val="0"/>
            <w:pBdr>
              <w:top w:val="nil"/>
              <w:left w:val="nil"/>
              <w:bottom w:val="nil"/>
              <w:right w:val="nil"/>
              <w:between w:val="nil"/>
            </w:pBdr>
            <w:spacing w:after="0"/>
            <w:jc w:val="left"/>
            <w:rPr>
              <w:sz w:val="16"/>
              <w:szCs w:val="16"/>
            </w:rPr>
          </w:pPr>
        </w:p>
      </w:tc>
      <w:tc>
        <w:tcPr>
          <w:tcW w:w="4235" w:type="dxa"/>
          <w:vMerge/>
          <w:tcBorders>
            <w:top w:val="single" w:sz="4" w:space="0" w:color="000000"/>
            <w:left w:val="nil"/>
            <w:right w:val="single" w:sz="4" w:space="0" w:color="000000"/>
          </w:tcBorders>
          <w:vAlign w:val="center"/>
        </w:tcPr>
        <w:p w:rsidR="00E02CE9" w:rsidRDefault="00E02CE9">
          <w:pPr>
            <w:widowControl w:val="0"/>
            <w:pBdr>
              <w:top w:val="nil"/>
              <w:left w:val="nil"/>
              <w:bottom w:val="nil"/>
              <w:right w:val="nil"/>
              <w:between w:val="nil"/>
            </w:pBdr>
            <w:spacing w:after="0"/>
            <w:jc w:val="left"/>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E02CE9" w:rsidRDefault="008972AB">
          <w:pPr>
            <w:spacing w:after="0"/>
            <w:jc w:val="left"/>
            <w:rPr>
              <w:sz w:val="16"/>
              <w:szCs w:val="16"/>
            </w:rPr>
          </w:pPr>
          <w:r>
            <w:rPr>
              <w:sz w:val="16"/>
              <w:szCs w:val="16"/>
            </w:rPr>
            <w:t>FECHA: 14-Nov-2019</w:t>
          </w:r>
        </w:p>
      </w:tc>
    </w:tr>
  </w:tbl>
  <w:p w:rsidR="00E02CE9" w:rsidRDefault="008972AB">
    <w:pPr>
      <w:pBdr>
        <w:top w:val="nil"/>
        <w:left w:val="nil"/>
        <w:bottom w:val="nil"/>
        <w:right w:val="nil"/>
        <w:between w:val="nil"/>
      </w:pBdr>
      <w:tabs>
        <w:tab w:val="center" w:pos="4252"/>
        <w:tab w:val="right" w:pos="8504"/>
      </w:tabs>
    </w:pPr>
    <w:r>
      <w:rPr>
        <w:noProof/>
        <w:lang w:val="es-419" w:eastAsia="es-419"/>
      </w:rPr>
      <w:drawing>
        <wp:anchor distT="0" distB="0" distL="0" distR="0" simplePos="0" relativeHeight="251658240" behindDoc="1" locked="0" layoutInCell="1" hidden="0" allowOverlap="1">
          <wp:simplePos x="0" y="0"/>
          <wp:positionH relativeFrom="column">
            <wp:posOffset>441325</wp:posOffset>
          </wp:positionH>
          <wp:positionV relativeFrom="paragraph">
            <wp:posOffset>-890268</wp:posOffset>
          </wp:positionV>
          <wp:extent cx="752475" cy="885825"/>
          <wp:effectExtent l="0" t="0" r="0" b="0"/>
          <wp:wrapNone/>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39DD"/>
    <w:multiLevelType w:val="multilevel"/>
    <w:tmpl w:val="0D56EE80"/>
    <w:lvl w:ilvl="0">
      <w:start w:val="1"/>
      <w:numFmt w:val="lowerLetter"/>
      <w:lvlText w:val="%1)"/>
      <w:lvlJc w:val="left"/>
      <w:pPr>
        <w:ind w:left="720" w:hanging="360"/>
      </w:pPr>
      <w:rPr>
        <w:u w:val="none"/>
      </w:rPr>
    </w:lvl>
    <w:lvl w:ilvl="1">
      <w:start w:val="1"/>
      <w:numFmt w:val="decimal"/>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 w15:restartNumberingAfterBreak="0">
    <w:nsid w:val="0A127D2B"/>
    <w:multiLevelType w:val="multilevel"/>
    <w:tmpl w:val="79D8DD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111B7131"/>
    <w:multiLevelType w:val="multilevel"/>
    <w:tmpl w:val="81BC9A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38402AFE"/>
    <w:multiLevelType w:val="multilevel"/>
    <w:tmpl w:val="23026A2E"/>
    <w:lvl w:ilvl="0">
      <w:start w:val="1"/>
      <w:numFmt w:val="decimal"/>
      <w:pStyle w:val="Ttu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39AB072D"/>
    <w:multiLevelType w:val="multilevel"/>
    <w:tmpl w:val="08C81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38D4ADE"/>
    <w:multiLevelType w:val="multilevel"/>
    <w:tmpl w:val="FAF64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0BE49E0"/>
    <w:multiLevelType w:val="multilevel"/>
    <w:tmpl w:val="90EE69AE"/>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5BF2263C"/>
    <w:multiLevelType w:val="multilevel"/>
    <w:tmpl w:val="E69A5B9C"/>
    <w:lvl w:ilvl="0">
      <w:start w:val="1"/>
      <w:numFmt w:val="upperRoman"/>
      <w:lvlText w:val="%1."/>
      <w:lvlJc w:val="right"/>
      <w:pPr>
        <w:ind w:left="720" w:hanging="360"/>
      </w:pPr>
    </w:lvl>
    <w:lvl w:ilvl="1">
      <w:start w:val="1"/>
      <w:numFmt w:val="lowerLetter"/>
      <w:lvlText w:val="%2."/>
      <w:lvlJc w:val="left"/>
      <w:pPr>
        <w:ind w:left="1440" w:hanging="36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38E0925"/>
    <w:multiLevelType w:val="multilevel"/>
    <w:tmpl w:val="EEF6078A"/>
    <w:lvl w:ilvl="0">
      <w:start w:val="1"/>
      <w:numFmt w:val="bullet"/>
      <w:lvlText w:val="●"/>
      <w:lvlJc w:val="left"/>
      <w:pPr>
        <w:ind w:left="1429" w:hanging="360"/>
      </w:pPr>
      <w:rPr>
        <w:u w:val="none"/>
      </w:rPr>
    </w:lvl>
    <w:lvl w:ilvl="1">
      <w:start w:val="1"/>
      <w:numFmt w:val="bullet"/>
      <w:lvlText w:val="o"/>
      <w:lvlJc w:val="left"/>
      <w:pPr>
        <w:ind w:left="2149" w:hanging="360"/>
      </w:pPr>
      <w:rPr>
        <w:u w:val="none"/>
      </w:rPr>
    </w:lvl>
    <w:lvl w:ilvl="2">
      <w:start w:val="1"/>
      <w:numFmt w:val="bullet"/>
      <w:lvlText w:val="▪"/>
      <w:lvlJc w:val="left"/>
      <w:pPr>
        <w:ind w:left="2869" w:hanging="360"/>
      </w:pPr>
      <w:rPr>
        <w:u w:val="none"/>
      </w:rPr>
    </w:lvl>
    <w:lvl w:ilvl="3">
      <w:start w:val="1"/>
      <w:numFmt w:val="bullet"/>
      <w:lvlText w:val="●"/>
      <w:lvlJc w:val="left"/>
      <w:pPr>
        <w:ind w:left="3589" w:hanging="360"/>
      </w:pPr>
      <w:rPr>
        <w:u w:val="none"/>
      </w:rPr>
    </w:lvl>
    <w:lvl w:ilvl="4">
      <w:start w:val="1"/>
      <w:numFmt w:val="bullet"/>
      <w:lvlText w:val="o"/>
      <w:lvlJc w:val="left"/>
      <w:pPr>
        <w:ind w:left="4309" w:hanging="360"/>
      </w:pPr>
      <w:rPr>
        <w:u w:val="none"/>
      </w:rPr>
    </w:lvl>
    <w:lvl w:ilvl="5">
      <w:start w:val="1"/>
      <w:numFmt w:val="bullet"/>
      <w:lvlText w:val="▪"/>
      <w:lvlJc w:val="left"/>
      <w:pPr>
        <w:ind w:left="5029" w:hanging="360"/>
      </w:pPr>
      <w:rPr>
        <w:u w:val="none"/>
      </w:rPr>
    </w:lvl>
    <w:lvl w:ilvl="6">
      <w:start w:val="1"/>
      <w:numFmt w:val="bullet"/>
      <w:lvlText w:val="●"/>
      <w:lvlJc w:val="left"/>
      <w:pPr>
        <w:ind w:left="5749" w:hanging="360"/>
      </w:pPr>
      <w:rPr>
        <w:u w:val="none"/>
      </w:rPr>
    </w:lvl>
    <w:lvl w:ilvl="7">
      <w:start w:val="1"/>
      <w:numFmt w:val="bullet"/>
      <w:lvlText w:val="o"/>
      <w:lvlJc w:val="left"/>
      <w:pPr>
        <w:ind w:left="6469" w:hanging="360"/>
      </w:pPr>
      <w:rPr>
        <w:u w:val="none"/>
      </w:rPr>
    </w:lvl>
    <w:lvl w:ilvl="8">
      <w:start w:val="1"/>
      <w:numFmt w:val="bullet"/>
      <w:lvlText w:val="▪"/>
      <w:lvlJc w:val="left"/>
      <w:pPr>
        <w:ind w:left="7189" w:hanging="360"/>
      </w:pPr>
      <w:rPr>
        <w:u w:val="none"/>
      </w:rPr>
    </w:lvl>
  </w:abstractNum>
  <w:abstractNum w:abstractNumId="9" w15:restartNumberingAfterBreak="0">
    <w:nsid w:val="6AA1602A"/>
    <w:multiLevelType w:val="multilevel"/>
    <w:tmpl w:val="03DE98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6904B90"/>
    <w:multiLevelType w:val="multilevel"/>
    <w:tmpl w:val="1A0A417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
  </w:num>
  <w:num w:numId="2">
    <w:abstractNumId w:val="0"/>
  </w:num>
  <w:num w:numId="3">
    <w:abstractNumId w:val="2"/>
  </w:num>
  <w:num w:numId="4">
    <w:abstractNumId w:val="4"/>
  </w:num>
  <w:num w:numId="5">
    <w:abstractNumId w:val="5"/>
  </w:num>
  <w:num w:numId="6">
    <w:abstractNumId w:val="6"/>
  </w:num>
  <w:num w:numId="7">
    <w:abstractNumId w:val="8"/>
  </w:num>
  <w:num w:numId="8">
    <w:abstractNumId w:val="7"/>
  </w:num>
  <w:num w:numId="9">
    <w:abstractNumId w:val="10"/>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2CE9"/>
    <w:rsid w:val="000353E2"/>
    <w:rsid w:val="004D63E7"/>
    <w:rsid w:val="008972AB"/>
    <w:rsid w:val="00E02CE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44D4555-9F6C-42E7-AB6C-A34CDF6D9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MX" w:eastAsia="es-CO" w:bidi="ar-SA"/>
      </w:rPr>
    </w:rPrDefault>
    <w:pPrDefault>
      <w:pPr>
        <w:spacing w:after="12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7A01"/>
    <w:rPr>
      <w:color w:val="000000"/>
    </w:rPr>
  </w:style>
  <w:style w:type="paragraph" w:styleId="Ttulo1">
    <w:name w:val="heading 1"/>
    <w:basedOn w:val="Normal"/>
    <w:next w:val="Normal"/>
    <w:link w:val="Ttulo1Car"/>
    <w:uiPriority w:val="99"/>
    <w:qFormat/>
    <w:rsid w:val="00245B85"/>
    <w:pPr>
      <w:keepNext/>
      <w:numPr>
        <w:numId w:val="11"/>
      </w:numPr>
      <w:outlineLvl w:val="0"/>
    </w:pPr>
    <w:rPr>
      <w:b/>
      <w:bCs/>
      <w:color w:val="auto"/>
    </w:rPr>
  </w:style>
  <w:style w:type="paragraph" w:styleId="Ttulo2">
    <w:name w:val="heading 2"/>
    <w:basedOn w:val="Normal"/>
    <w:next w:val="Normal"/>
    <w:link w:val="Ttulo2Car"/>
    <w:uiPriority w:val="99"/>
    <w:qFormat/>
    <w:rsid w:val="00AE7E3B"/>
    <w:pPr>
      <w:keepNext/>
      <w:outlineLvl w:val="1"/>
    </w:pPr>
    <w:rPr>
      <w:rFonts w:ascii="Times New Roman" w:hAnsi="Times New Roman"/>
      <w:color w:val="auto"/>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pPr>
    <w:rPr>
      <w:b/>
      <w:sz w:val="72"/>
      <w:szCs w:val="72"/>
    </w:rPr>
  </w:style>
  <w:style w:type="character" w:customStyle="1" w:styleId="Ttulo1Car">
    <w:name w:val="Título 1 Car"/>
    <w:basedOn w:val="Fuentedeprrafopredeter"/>
    <w:link w:val="Ttulo1"/>
    <w:uiPriority w:val="99"/>
    <w:locked/>
    <w:rsid w:val="00245B85"/>
    <w:rPr>
      <w:rFonts w:ascii="Arial" w:hAnsi="Arial" w:cs="Arial"/>
      <w:b/>
      <w:bCs/>
      <w:sz w:val="22"/>
      <w:szCs w:val="22"/>
      <w:lang w:val="es-MX"/>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rPr>
      <w:rFonts w:ascii="Times New Roman" w:hAnsi="Times New Roman"/>
      <w:color w:val="auto"/>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line="480" w:lineRule="auto"/>
    </w:pPr>
    <w:rPr>
      <w:rFonts w:ascii="Times New Roman" w:hAnsi="Times New Roman"/>
      <w:color w:val="auto"/>
      <w:szCs w:val="24"/>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character" w:customStyle="1" w:styleId="UnresolvedMention">
    <w:name w:val="Unresolved Mention"/>
    <w:basedOn w:val="Fuentedeprrafopredeter"/>
    <w:uiPriority w:val="99"/>
    <w:semiHidden/>
    <w:unhideWhenUsed/>
    <w:rsid w:val="00B12275"/>
    <w:rPr>
      <w:color w:val="605E5C"/>
      <w:shd w:val="clear" w:color="auto" w:fill="E1DFDD"/>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www.cancilleria.gov.co/sites/default/files/Normograma/docs/decreto_1079_2015.htm" TargetMode="External"/><Relationship Id="rId18" Type="http://schemas.openxmlformats.org/officeDocument/2006/relationships/hyperlink" Target="https://ansv.gov.co/es/observatorio/estad%25C3%25ADsticas/historico-victimas" TargetMode="External"/><Relationship Id="rId26" Type="http://schemas.openxmlformats.org/officeDocument/2006/relationships/hyperlink" Target="https://ansv.gov.co/es/observatorio/estad%C3%ADsticas/historico-victimas" TargetMode="External"/><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hyperlink" Target="https://www.terminaldetransporte.gov.co/wp-content/uploads/2025/02/20250217-Informe-de-gestion-2024-VF-1.pdf" TargetMode="External"/><Relationship Id="rId7" Type="http://schemas.openxmlformats.org/officeDocument/2006/relationships/endnotes" Target="endnotes.xml"/><Relationship Id="rId12" Type="http://schemas.openxmlformats.org/officeDocument/2006/relationships/hyperlink" Target="https://www.alcaldiabogota.gov.co/sisjur/normas/Norma1.jsp?i=87968" TargetMode="External"/><Relationship Id="rId17" Type="http://schemas.openxmlformats.org/officeDocument/2006/relationships/image" Target="media/image2.jpg"/><Relationship Id="rId25" Type="http://schemas.openxmlformats.org/officeDocument/2006/relationships/hyperlink" Target="https://ansv.gov.co/es/observatorio/estad%C3%ADsticas/historico-victimas" TargetMode="External"/><Relationship Id="rId33" Type="http://schemas.openxmlformats.org/officeDocument/2006/relationships/hyperlink" Target="https://www.movilidadbogota.gov.co/web/search/node/buses%20intermunicipales?page"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hyperlink" Target="https://ansv.gov.co/es/observatorio/estad%C3%ADsticas/historico-victima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lcaldiabogota.gov.co/sisjur/normas/Norma1.jsp?i=95565" TargetMode="External"/><Relationship Id="rId24" Type="http://schemas.openxmlformats.org/officeDocument/2006/relationships/hyperlink" Target="https://ansv.gov.co/es/observatorio/estad%C3%ADsticas/historico-victimas" TargetMode="External"/><Relationship Id="rId32" Type="http://schemas.openxmlformats.org/officeDocument/2006/relationships/hyperlink" Target="https://www.movilidadbogota.gov.co/web/search/node/buses%20intermunicipales?page"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cancilleria.gov.co/sites/default/files/Normograma/docs/decreto_1072_2015.htm" TargetMode="External"/><Relationship Id="rId23" Type="http://schemas.openxmlformats.org/officeDocument/2006/relationships/hyperlink" Target="https://bogota.gov.co/mi-ciudad/planeacion/abece-de-la-region-metropolitana-bogota-cundinamarca" TargetMode="External"/><Relationship Id="rId28" Type="http://schemas.openxmlformats.org/officeDocument/2006/relationships/hyperlink" Target="https://ansv.gov.co/es/observatorio/estad%C3%ADsticas/historico-victimas" TargetMode="External"/><Relationship Id="rId36" Type="http://schemas.openxmlformats.org/officeDocument/2006/relationships/header" Target="header1.xml"/><Relationship Id="rId10" Type="http://schemas.openxmlformats.org/officeDocument/2006/relationships/hyperlink" Target="https://www.alcaldiabogota.gov.co/sisjur/normas/Norma1.jsp?i=87968" TargetMode="External"/><Relationship Id="rId19" Type="http://schemas.openxmlformats.org/officeDocument/2006/relationships/hyperlink" Target="https://www.movilidadbogota.gov.co/web/search/node/buses%2520intermunicipales?page=1" TargetMode="External"/><Relationship Id="rId31" Type="http://schemas.openxmlformats.org/officeDocument/2006/relationships/hyperlink" Target="https://observatorio.movilidadbogota.gov.co/sites/observatorio.movilidadbogota.gov.co/files/2025-04-10/pub/ANUARIO%20SINIESTRALIDAD%20VIAL%202024-Digital-1_0.pdf" TargetMode="External"/><Relationship Id="rId4" Type="http://schemas.openxmlformats.org/officeDocument/2006/relationships/settings" Target="settings.xml"/><Relationship Id="rId9" Type="http://schemas.openxmlformats.org/officeDocument/2006/relationships/hyperlink" Target="https://www.cancilleria.gov.co/sites/default/files/Normograma/docs/decreto_2106_2019.htm" TargetMode="External"/><Relationship Id="rId14" Type="http://schemas.openxmlformats.org/officeDocument/2006/relationships/hyperlink" Target="https://www.cancilleria.gov.co/sites/default/files/Normograma/docs/decreto_1072_2015.htm" TargetMode="External"/><Relationship Id="rId22" Type="http://schemas.openxmlformats.org/officeDocument/2006/relationships/hyperlink" Target="https://bogota.gov.co/mi-ciudad/planeacion/abece-de-la-region-metropolitana-bogota-cundinamarca" TargetMode="External"/><Relationship Id="rId27" Type="http://schemas.openxmlformats.org/officeDocument/2006/relationships/hyperlink" Target="https://ansv.gov.co/es/observatorio/estad%C3%ADsticas/historico-victimas" TargetMode="External"/><Relationship Id="rId30" Type="http://schemas.openxmlformats.org/officeDocument/2006/relationships/hyperlink" Target="https://observatorio.movilidadbogota.gov.co/sites/observatorio.movilidadbogota.gov.co/files/2025-04-10/pub/ANUARIO%20SINIESTRALIDAD%20VIAL%202024-Digital-1_0.pdf" TargetMode="External"/><Relationship Id="rId35" Type="http://schemas.openxmlformats.org/officeDocument/2006/relationships/hyperlink" Target="https://www.terminaldetransporte.gov.co/wp-content/uploads/2025/02/20250217-Informe-de-gestion-2024-VF-1.pdf" TargetMode="External"/><Relationship Id="rId8" Type="http://schemas.openxmlformats.org/officeDocument/2006/relationships/hyperlink" Target="https://www.cancilleria.gov.co/sites/default/files/Normograma/docs/decreto_1079_2015.htm"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mBRcfZMmSOkTLXnuqrqVCCM39Q==">CgMxLjAyDmgucXI0bTh6aXl0em1pOAByITFTS2czSmlveE9USWdzWmZYVGQ0bFl3ZGUzQW16UnZjRw==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9345</Words>
  <Characters>51403</Characters>
  <Application>Microsoft Office Word</Application>
  <DocSecurity>0</DocSecurity>
  <Lines>428</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dcterms:created xsi:type="dcterms:W3CDTF">2025-05-01T21:18:00Z</dcterms:created>
  <dcterms:modified xsi:type="dcterms:W3CDTF">2025-05-01T21:18:00Z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775e44c2-063d-3f9c-949d-2fc55bec51a1</vt:lpwstr>
  </property>
  <property fmtid="{D5CDD505-2E9C-101B-9397-08002B2CF9AE}" pid="24" name="Mendeley Citation Style_1">
    <vt:lpwstr>http://www.zotero.org/styles/apa</vt:lpwstr>
  </property>
</Properties>
</file>